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Ростехнадзора от 23.11.2023 N 416</w:t>
              <w:br/>
              <w:t xml:space="preserve">"Об утверждении федеральных норм и правил в области использования атомной энергии "Правила физической защиты радиоактивных веществ и отдельных ядерных материалов при их транспортировании" (НП-073-23)"</w:t>
              <w:br/>
              <w:t xml:space="preserve">(Зарегистрировано в Минюсте России 22.12.2023 N 76569)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22 декабря 2023 г. N 76569</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ФЕДЕРАЛЬНАЯ СЛУЖБА ПО ЭКОЛОГИЧЕСКОМУ, ТЕХНОЛОГИЧЕСКОМУ</w:t>
      </w:r>
    </w:p>
    <w:p>
      <w:pPr>
        <w:pStyle w:val="2"/>
        <w:jc w:val="center"/>
      </w:pPr>
      <w:r>
        <w:rPr>
          <w:sz w:val="24"/>
        </w:rPr>
        <w:t xml:space="preserve">И АТОМНОМУ НАДЗОРУ</w:t>
      </w:r>
    </w:p>
    <w:p>
      <w:pPr>
        <w:pStyle w:val="2"/>
        <w:jc w:val="center"/>
      </w:pPr>
      <w:r>
        <w:rPr>
          <w:sz w:val="24"/>
        </w:rPr>
      </w:r>
    </w:p>
    <w:p>
      <w:pPr>
        <w:pStyle w:val="2"/>
        <w:jc w:val="center"/>
      </w:pPr>
      <w:r>
        <w:rPr>
          <w:sz w:val="24"/>
        </w:rPr>
        <w:t xml:space="preserve">ПРИКАЗ</w:t>
      </w:r>
    </w:p>
    <w:p>
      <w:pPr>
        <w:pStyle w:val="2"/>
        <w:jc w:val="center"/>
      </w:pPr>
      <w:r>
        <w:rPr>
          <w:sz w:val="24"/>
        </w:rPr>
        <w:t xml:space="preserve">от 23 ноября 2023 г. N 416</w:t>
      </w:r>
    </w:p>
    <w:p>
      <w:pPr>
        <w:pStyle w:val="2"/>
        <w:jc w:val="center"/>
      </w:pPr>
      <w:r>
        <w:rPr>
          <w:sz w:val="24"/>
        </w:rPr>
      </w:r>
    </w:p>
    <w:p>
      <w:pPr>
        <w:pStyle w:val="2"/>
        <w:jc w:val="center"/>
      </w:pPr>
      <w:r>
        <w:rPr>
          <w:sz w:val="24"/>
        </w:rPr>
        <w:t xml:space="preserve">ОБ УТВЕРЖДЕНИИ ФЕДЕРАЛЬНЫХ НОРМ И ПРАВИЛ</w:t>
      </w:r>
    </w:p>
    <w:p>
      <w:pPr>
        <w:pStyle w:val="2"/>
        <w:jc w:val="center"/>
      </w:pPr>
      <w:r>
        <w:rPr>
          <w:sz w:val="24"/>
        </w:rPr>
        <w:t xml:space="preserve">В ОБЛАСТИ ИСПОЛЬЗОВАНИЯ АТОМНОЙ ЭНЕРГИИ "ПРАВИЛА</w:t>
      </w:r>
    </w:p>
    <w:p>
      <w:pPr>
        <w:pStyle w:val="2"/>
        <w:jc w:val="center"/>
      </w:pPr>
      <w:r>
        <w:rPr>
          <w:sz w:val="24"/>
        </w:rPr>
        <w:t xml:space="preserve">ФИЗИЧЕСКОЙ ЗАЩИТЫ РАДИОАКТИВНЫХ ВЕЩЕСТВ И ОТДЕЛЬНЫХ ЯДЕРНЫХ</w:t>
      </w:r>
    </w:p>
    <w:p>
      <w:pPr>
        <w:pStyle w:val="2"/>
        <w:jc w:val="center"/>
      </w:pPr>
      <w:r>
        <w:rPr>
          <w:sz w:val="24"/>
        </w:rPr>
        <w:t xml:space="preserve">МАТЕРИАЛОВ ПРИ ИХ ТРАНСПОРТИРОВАНИИ" (НП-073-23)</w:t>
      </w:r>
    </w:p>
    <w:p>
      <w:pPr>
        <w:pStyle w:val="0"/>
        <w:jc w:val="both"/>
      </w:pPr>
      <w:r>
        <w:rPr>
          <w:sz w:val="24"/>
        </w:rPr>
      </w:r>
    </w:p>
    <w:p>
      <w:pPr>
        <w:pStyle w:val="0"/>
        <w:ind w:firstLine="540"/>
        <w:jc w:val="both"/>
      </w:pPr>
      <w:r>
        <w:rPr>
          <w:sz w:val="24"/>
        </w:rPr>
        <w:t xml:space="preserve">В соответствии со </w:t>
      </w:r>
      <w:hyperlink w:history="0" r:id="rId8" w:tooltip="Федеральный закон от 21.11.1995 N 170-ФЗ (ред. от 21.04.2025) &quot;Об использовании атомной энергии&quot; {КонсультантПлюс}">
        <w:r>
          <w:rPr>
            <w:sz w:val="24"/>
            <w:color w:val="0000ff"/>
          </w:rPr>
          <w:t xml:space="preserve">статьей 6</w:t>
        </w:r>
      </w:hyperlink>
      <w:r>
        <w:rPr>
          <w:sz w:val="24"/>
        </w:rPr>
        <w:t xml:space="preserve"> Федерального закона от 21 ноября 1995 г. N 170-ФЗ "Об использовании атомной энергии", </w:t>
      </w:r>
      <w:hyperlink w:history="0" r:id="rId9" w:tooltip="Постановление Правительства РФ от 30.07.2004 N 401 (ред. от 14.04.2026) &quot;О Федеральной службе по экологическому, технологическому и атомному надзору&quot; ------------ Недействующая редакция {КонсультантПлюс}">
        <w:r>
          <w:rPr>
            <w:sz w:val="24"/>
            <w:color w:val="0000ff"/>
          </w:rPr>
          <w:t xml:space="preserve">подпунктом 5.2.2.1 пункта 5</w:t>
        </w:r>
      </w:hyperlink>
      <w:r>
        <w:rPr>
          <w:sz w:val="24"/>
        </w:rPr>
        <w:t xml:space="preserve">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приказываю:</w:t>
      </w:r>
    </w:p>
    <w:p>
      <w:pPr>
        <w:pStyle w:val="0"/>
        <w:spacing w:before="240" w:lineRule="auto"/>
        <w:ind w:firstLine="540"/>
        <w:jc w:val="both"/>
      </w:pPr>
      <w:r>
        <w:rPr>
          <w:sz w:val="24"/>
        </w:rPr>
        <w:t xml:space="preserve">1. Утвердить прилагаемые федеральные </w:t>
      </w:r>
      <w:hyperlink w:history="0" w:anchor="P33" w:tooltip="ФЕДЕРАЛЬНЫЕ НОРМЫ И ПРАВИЛА">
        <w:r>
          <w:rPr>
            <w:sz w:val="24"/>
            <w:color w:val="0000ff"/>
          </w:rPr>
          <w:t xml:space="preserve">нормы и правила</w:t>
        </w:r>
      </w:hyperlink>
      <w:r>
        <w:rPr>
          <w:sz w:val="24"/>
        </w:rPr>
        <w:t xml:space="preserve"> в области использования атомной энергии "Правила физической защиты радиоактивных веществ и отдельных ядерных материалов при их транспортировании" (НП-073-23).</w:t>
      </w:r>
    </w:p>
    <w:p>
      <w:pPr>
        <w:pStyle w:val="0"/>
        <w:spacing w:before="240" w:lineRule="auto"/>
        <w:ind w:firstLine="540"/>
        <w:jc w:val="both"/>
      </w:pPr>
      <w:r>
        <w:rPr>
          <w:sz w:val="24"/>
        </w:rPr>
        <w:t xml:space="preserve">2. Признать утратившим силу </w:t>
      </w:r>
      <w:hyperlink w:history="0" r:id="rId10" w:tooltip="Приказ Ростехнадзора от 27.12.2011 N 747 &quot;Об утверждении федеральных норм и правил в области использования атомной энергии &quot;Правила физической защиты радиоактивных веществ и радиационных источников при их транспортировании&quot; (вместе с &quot;НП-073-11. Федеральные нормы и правила в области использования атомной энергии &quot;Правила физической защиты радиоактивных веществ и радиационных источников при их транспортировании&quot;) (Зарегистрировано в Минюсте РФ 20.01.2012 N 22984) ------------ Утратил силу или отменен {КонсультантПлюс}">
        <w:r>
          <w:rPr>
            <w:sz w:val="24"/>
            <w:color w:val="0000ff"/>
          </w:rPr>
          <w:t xml:space="preserve">приказ</w:t>
        </w:r>
      </w:hyperlink>
      <w:r>
        <w:rPr>
          <w:sz w:val="24"/>
        </w:rPr>
        <w:t xml:space="preserve"> Федеральной службы по экологическому, технологическому и атомному надзору от 27 декабря 2011 г. N 747 "Об утверждении федеральных норм и правил в области использования атомной энергии "Правила физической защиты радиоактивных веществ и радиационных источников при их транспортировании" (зарегистрирован Министерством юстиции Российской Федерации 20 января 2012 г., регистрационный N 22984).</w:t>
      </w:r>
    </w:p>
    <w:p>
      <w:pPr>
        <w:pStyle w:val="0"/>
        <w:spacing w:before="240" w:lineRule="auto"/>
        <w:ind w:firstLine="540"/>
        <w:jc w:val="both"/>
      </w:pPr>
      <w:r>
        <w:rPr>
          <w:sz w:val="24"/>
        </w:rPr>
        <w:t xml:space="preserve">3. Настоящий приказ вступает в силу с 1 апреля 2024 г.</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А.В.ТРЕМБИЦКИЙ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приказом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23 ноября 2023 г. N 416</w:t>
      </w:r>
    </w:p>
    <w:p>
      <w:pPr>
        <w:pStyle w:val="0"/>
        <w:jc w:val="both"/>
      </w:pPr>
      <w:r>
        <w:rPr>
          <w:sz w:val="24"/>
        </w:rPr>
      </w:r>
    </w:p>
    <w:bookmarkStart w:id="33" w:name="P33"/>
    <w:bookmarkEnd w:id="33"/>
    <w:p>
      <w:pPr>
        <w:pStyle w:val="2"/>
        <w:jc w:val="center"/>
      </w:pPr>
      <w:r>
        <w:rPr>
          <w:sz w:val="24"/>
        </w:rPr>
        <w:t xml:space="preserve">ФЕДЕРАЛЬНЫЕ НОРМЫ И ПРАВИЛА</w:t>
      </w:r>
    </w:p>
    <w:p>
      <w:pPr>
        <w:pStyle w:val="2"/>
        <w:jc w:val="center"/>
      </w:pPr>
      <w:r>
        <w:rPr>
          <w:sz w:val="24"/>
        </w:rPr>
        <w:t xml:space="preserve">В ОБЛАСТИ ИСПОЛЬЗОВАНИЯ АТОМНОЙ ЭНЕРГИИ "ПРАВИЛА ФИЗИЧЕСКОЙ</w:t>
      </w:r>
    </w:p>
    <w:p>
      <w:pPr>
        <w:pStyle w:val="2"/>
        <w:jc w:val="center"/>
      </w:pPr>
      <w:r>
        <w:rPr>
          <w:sz w:val="24"/>
        </w:rPr>
        <w:t xml:space="preserve">ЗАЩИТЫ РАДИОАКТИВНЫХ ВЕЩЕСТВ И ОТДЕЛЬНЫХ ЯДЕРНЫХ</w:t>
      </w:r>
    </w:p>
    <w:p>
      <w:pPr>
        <w:pStyle w:val="2"/>
        <w:jc w:val="center"/>
      </w:pPr>
      <w:r>
        <w:rPr>
          <w:sz w:val="24"/>
        </w:rPr>
        <w:t xml:space="preserve">МАТЕРИАЛОВ ПРИ ИХ ТРАНСПОРТИРОВАНИИ"</w:t>
      </w:r>
    </w:p>
    <w:p>
      <w:pPr>
        <w:pStyle w:val="2"/>
        <w:jc w:val="center"/>
      </w:pPr>
      <w:r>
        <w:rPr>
          <w:sz w:val="24"/>
        </w:rPr>
        <w:t xml:space="preserve">(НП-073-23)</w:t>
      </w:r>
    </w:p>
    <w:p>
      <w:pPr>
        <w:pStyle w:val="0"/>
        <w:jc w:val="both"/>
      </w:pPr>
      <w:r>
        <w:rPr>
          <w:sz w:val="24"/>
        </w:rPr>
      </w:r>
    </w:p>
    <w:p>
      <w:pPr>
        <w:pStyle w:val="2"/>
        <w:outlineLvl w:val="1"/>
        <w:jc w:val="center"/>
      </w:pPr>
      <w:r>
        <w:rPr>
          <w:sz w:val="24"/>
        </w:rPr>
        <w:t xml:space="preserve">I. Назначение и область применения</w:t>
      </w:r>
    </w:p>
    <w:p>
      <w:pPr>
        <w:pStyle w:val="0"/>
        <w:jc w:val="both"/>
      </w:pPr>
      <w:r>
        <w:rPr>
          <w:sz w:val="24"/>
        </w:rPr>
      </w:r>
    </w:p>
    <w:p>
      <w:pPr>
        <w:pStyle w:val="0"/>
        <w:ind w:firstLine="540"/>
        <w:jc w:val="both"/>
      </w:pPr>
      <w:r>
        <w:rPr>
          <w:sz w:val="24"/>
        </w:rPr>
        <w:t xml:space="preserve">1. Настоящие Правила распространяются на правоотношения в области обеспечения физической защиты РВ (перечень сокращений приведен в </w:t>
      </w:r>
      <w:hyperlink w:history="0" w:anchor="P160" w:tooltip="ПЕРЕЧЕНЬ СОКРАЩЕНИЙ">
        <w:r>
          <w:rPr>
            <w:sz w:val="24"/>
            <w:color w:val="0000ff"/>
          </w:rPr>
          <w:t xml:space="preserve">приложении N 1</w:t>
        </w:r>
      </w:hyperlink>
      <w:r>
        <w:rPr>
          <w:sz w:val="24"/>
        </w:rPr>
        <w:t xml:space="preserve">, термины и определения - в </w:t>
      </w:r>
      <w:hyperlink w:history="0" w:anchor="P202" w:tooltip="ТЕРМИНЫ И ОПРЕДЕЛЕНИЯ">
        <w:r>
          <w:rPr>
            <w:sz w:val="24"/>
            <w:color w:val="0000ff"/>
          </w:rPr>
          <w:t xml:space="preserve">приложении N 2</w:t>
        </w:r>
      </w:hyperlink>
      <w:r>
        <w:rPr>
          <w:sz w:val="24"/>
        </w:rPr>
        <w:t xml:space="preserve"> к настоящим Правилам), отдельных ЯМ (ЯМ, подлежащих учету в СГУК РВ и РАО &lt;1&gt;) при их транспортировании.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1" w:tooltip="Постановление Правительства РФ от 19.07.2007 N 456 (ред. от 05.07.2018) &quot;Об утверждении Правил физической защиты ядерных материалов, ядерных установок и пунктов хранения ядерных материалов&quot; {КонсультантПлюс}">
        <w:r>
          <w:rPr>
            <w:sz w:val="24"/>
            <w:color w:val="0000ff"/>
          </w:rPr>
          <w:t xml:space="preserve">Абзац второй пункта 76</w:t>
        </w:r>
      </w:hyperlink>
      <w:r>
        <w:rPr>
          <w:sz w:val="24"/>
        </w:rPr>
        <w:t xml:space="preserve"> Правил физической защиты ядерных материалов, ядерных установок и пунктов хранения ядерных материалов, утвержденных постановлением Правительства Российской Федерации от 19 июля 2007 г. N 456, </w:t>
      </w:r>
      <w:hyperlink w:history="0" r:id="rId12" w:tooltip="Постановление Правительства РФ от 15.06.2016 N 542 (ред. от 19.10.2021) &quot;О порядке организации системы государственного учета и контроля радиоактивных веществ и радиоактивных отходов&quot; (вместе с &quot;Положением об организации системы государственного учета и контроля радиоактивных веществ и радиоактивных отходов&quot;) {КонсультантПлюс}">
        <w:r>
          <w:rPr>
            <w:sz w:val="24"/>
            <w:color w:val="0000ff"/>
          </w:rPr>
          <w:t xml:space="preserve">Положение</w:t>
        </w:r>
      </w:hyperlink>
      <w:r>
        <w:rPr>
          <w:sz w:val="24"/>
        </w:rPr>
        <w:t xml:space="preserve"> об организации системы государственного учета и контроля радиоактивных веществ и радиоактивных отходов, утвержденное постановлением Правительства Российской Федерации от 15 июня 2016 г. N 542.</w:t>
      </w:r>
    </w:p>
    <w:p>
      <w:pPr>
        <w:pStyle w:val="0"/>
        <w:jc w:val="both"/>
      </w:pPr>
      <w:r>
        <w:rPr>
          <w:sz w:val="24"/>
        </w:rPr>
      </w:r>
    </w:p>
    <w:p>
      <w:pPr>
        <w:pStyle w:val="0"/>
        <w:ind w:firstLine="540"/>
        <w:jc w:val="both"/>
      </w:pPr>
      <w:r>
        <w:rPr>
          <w:sz w:val="24"/>
        </w:rPr>
        <w:t xml:space="preserve">Настоящие Правила не распространяются:</w:t>
      </w:r>
    </w:p>
    <w:p>
      <w:pPr>
        <w:pStyle w:val="0"/>
        <w:spacing w:before="240" w:lineRule="auto"/>
        <w:ind w:firstLine="540"/>
        <w:jc w:val="both"/>
      </w:pPr>
      <w:r>
        <w:rPr>
          <w:sz w:val="24"/>
        </w:rPr>
        <w:t xml:space="preserve">на обеспечение физической защиты ЯМ, подлежащих учету в СГУК ЯМ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13" w:tooltip="Постановление Правительства РФ от 06.05.2008 N 352 (ред. от 04.02.2011) &quot;Об утверждении Положения о системе государственного учета и контроля ядерных материалов&quot; {КонсультантПлюс}">
        <w:r>
          <w:rPr>
            <w:sz w:val="24"/>
            <w:color w:val="0000ff"/>
          </w:rPr>
          <w:t xml:space="preserve">Положение</w:t>
        </w:r>
      </w:hyperlink>
      <w:r>
        <w:rPr>
          <w:sz w:val="24"/>
        </w:rPr>
        <w:t xml:space="preserve"> о системе государственного учета и контроля ядерных материалов, утвержденное постановлением Правительства Российской Федерации от 6 мая 2008 г. N 352.</w:t>
      </w:r>
    </w:p>
    <w:p>
      <w:pPr>
        <w:pStyle w:val="0"/>
        <w:jc w:val="both"/>
      </w:pPr>
      <w:r>
        <w:rPr>
          <w:sz w:val="24"/>
        </w:rPr>
      </w:r>
    </w:p>
    <w:p>
      <w:pPr>
        <w:pStyle w:val="0"/>
        <w:ind w:firstLine="540"/>
        <w:jc w:val="both"/>
      </w:pPr>
      <w:r>
        <w:rPr>
          <w:sz w:val="24"/>
        </w:rPr>
        <w:t xml:space="preserve">на внутренние (без выезда на пути общего пользования) перемещения РВ, ЯМ, подлежащих учету в СГУК РВ и РАО, по территории организации, где они производятся, используются и хранятся, в случае, если радиационные объекты размещаются в пределах одной ЗОД.</w:t>
      </w:r>
    </w:p>
    <w:p>
      <w:pPr>
        <w:pStyle w:val="0"/>
        <w:spacing w:before="240" w:lineRule="auto"/>
        <w:ind w:firstLine="540"/>
        <w:jc w:val="both"/>
      </w:pPr>
      <w:r>
        <w:rPr>
          <w:sz w:val="24"/>
        </w:rPr>
        <w:t xml:space="preserve">2. Требования настоящих Правил обязательны для исполнения эксплуатирующими организациями, организациями, осуществляющими деятельность по эксплуатации РИ, содержащих в своем составе только радионуклидные источники четвертой и пятой категорий радиационной опасности, организациями, выполняющими работы и предоставляющими услуги для эксплуатирующих организаций.</w:t>
      </w:r>
    </w:p>
    <w:p>
      <w:pPr>
        <w:pStyle w:val="0"/>
        <w:jc w:val="both"/>
      </w:pPr>
      <w:r>
        <w:rPr>
          <w:sz w:val="24"/>
        </w:rPr>
      </w:r>
    </w:p>
    <w:p>
      <w:pPr>
        <w:pStyle w:val="2"/>
        <w:outlineLvl w:val="1"/>
        <w:jc w:val="center"/>
      </w:pPr>
      <w:r>
        <w:rPr>
          <w:sz w:val="24"/>
        </w:rPr>
        <w:t xml:space="preserve">II. Общие положения</w:t>
      </w:r>
    </w:p>
    <w:p>
      <w:pPr>
        <w:pStyle w:val="0"/>
        <w:jc w:val="both"/>
      </w:pPr>
      <w:r>
        <w:rPr>
          <w:sz w:val="24"/>
        </w:rPr>
      </w:r>
    </w:p>
    <w:p>
      <w:pPr>
        <w:pStyle w:val="0"/>
        <w:ind w:firstLine="540"/>
        <w:jc w:val="both"/>
      </w:pPr>
      <w:r>
        <w:rPr>
          <w:sz w:val="24"/>
        </w:rPr>
        <w:t xml:space="preserve">3. Физическая защита при транспортировании должна обеспечиваться в целях предотвращения несанкционированных действий.</w:t>
      </w:r>
    </w:p>
    <w:p>
      <w:pPr>
        <w:pStyle w:val="0"/>
        <w:spacing w:before="240" w:lineRule="auto"/>
        <w:ind w:firstLine="540"/>
        <w:jc w:val="both"/>
      </w:pPr>
      <w:r>
        <w:rPr>
          <w:sz w:val="24"/>
        </w:rPr>
        <w:t xml:space="preserve">С использованием физической защиты при транспортировании должны выполняться следующие задачи:</w:t>
      </w:r>
    </w:p>
    <w:p>
      <w:pPr>
        <w:pStyle w:val="0"/>
        <w:spacing w:before="240" w:lineRule="auto"/>
        <w:ind w:firstLine="540"/>
        <w:jc w:val="both"/>
      </w:pPr>
      <w:r>
        <w:rPr>
          <w:sz w:val="24"/>
        </w:rPr>
        <w:t xml:space="preserve">а) предупреждение несанкционированных действий;</w:t>
      </w:r>
    </w:p>
    <w:p>
      <w:pPr>
        <w:pStyle w:val="0"/>
        <w:spacing w:before="240" w:lineRule="auto"/>
        <w:ind w:firstLine="540"/>
        <w:jc w:val="both"/>
      </w:pPr>
      <w:r>
        <w:rPr>
          <w:sz w:val="24"/>
        </w:rPr>
        <w:t xml:space="preserve">б) своевременное обнаружение несанкционированных действий;</w:t>
      </w:r>
    </w:p>
    <w:p>
      <w:pPr>
        <w:pStyle w:val="0"/>
        <w:spacing w:before="240" w:lineRule="auto"/>
        <w:ind w:firstLine="540"/>
        <w:jc w:val="both"/>
      </w:pPr>
      <w:r>
        <w:rPr>
          <w:sz w:val="24"/>
        </w:rPr>
        <w:t xml:space="preserve">в) задержка (замедление) проникновения (продвижения) нарушителей;</w:t>
      </w:r>
    </w:p>
    <w:p>
      <w:pPr>
        <w:pStyle w:val="0"/>
        <w:spacing w:before="240" w:lineRule="auto"/>
        <w:ind w:firstLine="540"/>
        <w:jc w:val="both"/>
      </w:pPr>
      <w:r>
        <w:rPr>
          <w:sz w:val="24"/>
        </w:rPr>
        <w:t xml:space="preserve">г) реагирование на несанкционированные действия и нейтрализация нарушителей для пресечения несанкционированных действий нарушителей.</w:t>
      </w:r>
    </w:p>
    <w:p>
      <w:pPr>
        <w:pStyle w:val="0"/>
        <w:spacing w:before="240" w:lineRule="auto"/>
        <w:ind w:firstLine="540"/>
        <w:jc w:val="both"/>
      </w:pPr>
      <w:r>
        <w:rPr>
          <w:sz w:val="24"/>
        </w:rPr>
        <w:t xml:space="preserve">4. Решение задач физической защиты должно достигаться за счет:</w:t>
      </w:r>
    </w:p>
    <w:p>
      <w:pPr>
        <w:pStyle w:val="0"/>
        <w:spacing w:before="240" w:lineRule="auto"/>
        <w:ind w:firstLine="540"/>
        <w:jc w:val="both"/>
      </w:pPr>
      <w:r>
        <w:rPr>
          <w:sz w:val="24"/>
        </w:rPr>
        <w:t xml:space="preserve">а) реализации организационных мероприятий;</w:t>
      </w:r>
    </w:p>
    <w:p>
      <w:pPr>
        <w:pStyle w:val="0"/>
        <w:spacing w:before="240" w:lineRule="auto"/>
        <w:ind w:firstLine="540"/>
        <w:jc w:val="both"/>
      </w:pPr>
      <w:r>
        <w:rPr>
          <w:sz w:val="24"/>
        </w:rPr>
        <w:t xml:space="preserve">б) использования ИТСФЗ и позиционирования перевозочных средств;</w:t>
      </w:r>
    </w:p>
    <w:p>
      <w:pPr>
        <w:pStyle w:val="0"/>
        <w:spacing w:before="240" w:lineRule="auto"/>
        <w:ind w:firstLine="540"/>
        <w:jc w:val="both"/>
      </w:pPr>
      <w:r>
        <w:rPr>
          <w:sz w:val="24"/>
        </w:rPr>
        <w:t xml:space="preserve">в) действий персонала физической защиты.</w:t>
      </w:r>
    </w:p>
    <w:p>
      <w:pPr>
        <w:pStyle w:val="0"/>
        <w:spacing w:before="240" w:lineRule="auto"/>
        <w:ind w:firstLine="540"/>
        <w:jc w:val="both"/>
      </w:pPr>
      <w:r>
        <w:rPr>
          <w:sz w:val="24"/>
        </w:rPr>
        <w:t xml:space="preserve">5. Физическая защита при транспортировании не должна препятствовать выполнению мер радиационной безопасности.</w:t>
      </w:r>
    </w:p>
    <w:p>
      <w:pPr>
        <w:pStyle w:val="0"/>
        <w:spacing w:before="240" w:lineRule="auto"/>
        <w:ind w:firstLine="540"/>
        <w:jc w:val="both"/>
      </w:pPr>
      <w:r>
        <w:rPr>
          <w:sz w:val="24"/>
        </w:rPr>
        <w:t xml:space="preserve">6. При транспортировании груза между различными организациями и между радиационными объектами одной и той же организации с выездом на пути общего пользования должна быть определена организация или обособленное подразделение организации (грузоотправитель или грузополучатель, или перевозчик), которая несет ответственность за обеспечение физической защиты груза (далее - организация, ответственная за физическую защиту).</w:t>
      </w:r>
    </w:p>
    <w:p>
      <w:pPr>
        <w:pStyle w:val="0"/>
        <w:spacing w:before="240" w:lineRule="auto"/>
        <w:ind w:firstLine="540"/>
        <w:jc w:val="both"/>
      </w:pPr>
      <w:r>
        <w:rPr>
          <w:sz w:val="24"/>
        </w:rPr>
        <w:t xml:space="preserve">Документы со сведениями об определении организации, ответственной за физическую защиту, должны храниться организацией, ответственной за физическую защиту, и грузоотправителем (в случае, если грузоотправитель не является организацией, ответственной за физическую защиту) не менее пяти лет со дня разгрузки и приемки груза в конечном пункте назначения.</w:t>
      </w:r>
    </w:p>
    <w:p>
      <w:pPr>
        <w:pStyle w:val="0"/>
        <w:spacing w:before="240" w:lineRule="auto"/>
        <w:ind w:firstLine="540"/>
        <w:jc w:val="both"/>
      </w:pPr>
      <w:r>
        <w:rPr>
          <w:sz w:val="24"/>
        </w:rPr>
        <w:t xml:space="preserve">При транспортировании мобильных РИ, содержащих РВ, ЯМ, подлежащие учету в СГУК РВ и РАО, к месту проведения работ (временного хранения) с выездом на пути общего пользования организация, которая эксплуатирует мобильные РИ, содержащие РВ, ЯМ, подлежащие учету в СГУК РВ и РАО, является ответственной за физическую защиту.</w:t>
      </w:r>
    </w:p>
    <w:p>
      <w:pPr>
        <w:pStyle w:val="0"/>
        <w:spacing w:before="240" w:lineRule="auto"/>
        <w:ind w:firstLine="540"/>
        <w:jc w:val="both"/>
      </w:pPr>
      <w:r>
        <w:rPr>
          <w:sz w:val="24"/>
        </w:rPr>
        <w:t xml:space="preserve">В случае если транспортирование, которое организуется одним или несколькими перевозчиками, выполняется несколькими видами перевозочных средств, меры по обеспечению физической защиты должны быть определены документально для каждого этапа и вида транспорта.</w:t>
      </w:r>
    </w:p>
    <w:p>
      <w:pPr>
        <w:pStyle w:val="0"/>
        <w:jc w:val="both"/>
      </w:pPr>
      <w:r>
        <w:rPr>
          <w:sz w:val="24"/>
        </w:rPr>
      </w:r>
    </w:p>
    <w:p>
      <w:pPr>
        <w:pStyle w:val="2"/>
        <w:outlineLvl w:val="1"/>
        <w:jc w:val="center"/>
      </w:pPr>
      <w:r>
        <w:rPr>
          <w:sz w:val="24"/>
        </w:rPr>
        <w:t xml:space="preserve">III. Требования к физической защите при транспортировании</w:t>
      </w:r>
    </w:p>
    <w:p>
      <w:pPr>
        <w:pStyle w:val="0"/>
        <w:jc w:val="both"/>
      </w:pPr>
      <w:r>
        <w:rPr>
          <w:sz w:val="24"/>
        </w:rPr>
      </w:r>
    </w:p>
    <w:p>
      <w:pPr>
        <w:pStyle w:val="0"/>
        <w:ind w:firstLine="540"/>
        <w:jc w:val="both"/>
      </w:pPr>
      <w:r>
        <w:rPr>
          <w:sz w:val="24"/>
        </w:rPr>
        <w:t xml:space="preserve">7. Для обеспечения физической защиты груза организация, ответственная за физическую защиту, должна:</w:t>
      </w:r>
    </w:p>
    <w:p>
      <w:pPr>
        <w:pStyle w:val="0"/>
        <w:spacing w:before="240" w:lineRule="auto"/>
        <w:ind w:firstLine="540"/>
        <w:jc w:val="both"/>
      </w:pPr>
      <w:r>
        <w:rPr>
          <w:sz w:val="24"/>
        </w:rPr>
        <w:t xml:space="preserve">а) ограничить общее время нахождения РВ, ЯМ, подлежащих учету в СГУК РВ и РАО, в пути следования;</w:t>
      </w:r>
    </w:p>
    <w:p>
      <w:pPr>
        <w:pStyle w:val="0"/>
        <w:spacing w:before="240" w:lineRule="auto"/>
        <w:ind w:firstLine="540"/>
        <w:jc w:val="both"/>
      </w:pPr>
      <w:r>
        <w:rPr>
          <w:sz w:val="24"/>
        </w:rPr>
        <w:t xml:space="preserve">б) составлять график, расписание и маршрут движения перевозочных средств с учетом условий транспортирования;</w:t>
      </w:r>
    </w:p>
    <w:p>
      <w:pPr>
        <w:pStyle w:val="0"/>
        <w:spacing w:before="240" w:lineRule="auto"/>
        <w:ind w:firstLine="540"/>
        <w:jc w:val="both"/>
      </w:pPr>
      <w:r>
        <w:rPr>
          <w:sz w:val="24"/>
        </w:rPr>
        <w:t xml:space="preserve">в) исключить нанесение на перевозочные средства знаков и надписей и занесение в перевозочные документы записей, свидетельствующих о характере груза и назначении перевозочных средств, за исключением знаков опасности и информационных табло, используемых в целях обеспечения безопасности (нанесение знаков опасности и информационных табло при специальных перевозках не требуется);</w:t>
      </w:r>
    </w:p>
    <w:p>
      <w:pPr>
        <w:pStyle w:val="0"/>
        <w:spacing w:before="240" w:lineRule="auto"/>
        <w:ind w:firstLine="540"/>
        <w:jc w:val="both"/>
      </w:pPr>
      <w:r>
        <w:rPr>
          <w:sz w:val="24"/>
        </w:rPr>
        <w:t xml:space="preserve">г) выбирать маршрут следования вне территорий с установленными уровнями террористической опасности, районов чрезвычайного положения, стихийного бедствия;</w:t>
      </w:r>
    </w:p>
    <w:p>
      <w:pPr>
        <w:pStyle w:val="0"/>
        <w:spacing w:before="240" w:lineRule="auto"/>
        <w:ind w:firstLine="540"/>
        <w:jc w:val="both"/>
      </w:pPr>
      <w:r>
        <w:rPr>
          <w:sz w:val="24"/>
        </w:rPr>
        <w:t xml:space="preserve">д) ограничить круг лиц, осведомленных о маршруте, графике движения и сроках транспортирования;</w:t>
      </w:r>
    </w:p>
    <w:p>
      <w:pPr>
        <w:pStyle w:val="0"/>
        <w:spacing w:before="240" w:lineRule="auto"/>
        <w:ind w:firstLine="540"/>
        <w:jc w:val="both"/>
      </w:pPr>
      <w:r>
        <w:rPr>
          <w:sz w:val="24"/>
        </w:rPr>
        <w:t xml:space="preserve">е) обеспечить при транспортировании груза между различными организациями уведомление грузоотправителем грузополучателя о планируемой отправке РВ, ЯМ, подлежащих учету в СГУК РВ и РАО, ожидаемом времени прибытия груза в пункт назначения и точном месте их сдачи или передачи;</w:t>
      </w:r>
    </w:p>
    <w:p>
      <w:pPr>
        <w:pStyle w:val="0"/>
        <w:spacing w:before="240" w:lineRule="auto"/>
        <w:ind w:firstLine="540"/>
        <w:jc w:val="both"/>
      </w:pPr>
      <w:r>
        <w:rPr>
          <w:sz w:val="24"/>
        </w:rPr>
        <w:t xml:space="preserve">ж) при транспортировании груза между различными организациями осуществлять их отправление только после получения от грузополучателя письменного подтверждения о готовности принять груз;</w:t>
      </w:r>
    </w:p>
    <w:p>
      <w:pPr>
        <w:pStyle w:val="0"/>
        <w:spacing w:before="240" w:lineRule="auto"/>
        <w:ind w:firstLine="540"/>
        <w:jc w:val="both"/>
      </w:pPr>
      <w:r>
        <w:rPr>
          <w:sz w:val="24"/>
        </w:rPr>
        <w:t xml:space="preserve">з) обеспечить наличие и использование средств связи для передачи сообщений о транспортировании между персоналом физической защиты и организацией, ответственной за физическую защиту;</w:t>
      </w:r>
    </w:p>
    <w:p>
      <w:pPr>
        <w:pStyle w:val="0"/>
        <w:spacing w:before="240" w:lineRule="auto"/>
        <w:ind w:firstLine="540"/>
        <w:jc w:val="both"/>
      </w:pPr>
      <w:r>
        <w:rPr>
          <w:sz w:val="24"/>
        </w:rPr>
        <w:t xml:space="preserve">и) организовывать взаимодействие с силами охраны (в случае их привлечения к операциям и условиям, которые связаны с перемещением РВ, ЯМ, подлежащих учету в СГУК РВ и РАО) с целью определения дополнительных мер, обеспечивающих защиту и безопасность транспортируемого груза, отражение возможного нападения в пути следования или в случае возникновения аварии по маршруту следования;</w:t>
      </w:r>
    </w:p>
    <w:p>
      <w:pPr>
        <w:pStyle w:val="0"/>
        <w:spacing w:before="240" w:lineRule="auto"/>
        <w:ind w:firstLine="540"/>
        <w:jc w:val="both"/>
      </w:pPr>
      <w:r>
        <w:rPr>
          <w:sz w:val="24"/>
        </w:rPr>
        <w:t xml:space="preserve">к) обеспечить проведение в установленном организацией, ответственной за физическую защиту, порядке перед загрузкой и отправлением груза осмотр перевозочных средств на отсутствие в них посторонних предметов или устройств, которые могут создать помехи при транспортировании или способствовать совершению несанкционированных действий;</w:t>
      </w:r>
    </w:p>
    <w:p>
      <w:pPr>
        <w:pStyle w:val="0"/>
        <w:spacing w:before="240" w:lineRule="auto"/>
        <w:ind w:firstLine="540"/>
        <w:jc w:val="both"/>
      </w:pPr>
      <w:r>
        <w:rPr>
          <w:sz w:val="24"/>
        </w:rPr>
        <w:t xml:space="preserve">л) обеспечить выполнение организационных мероприятий, разрабатываемых в целях обеспечения физической защиты груза.</w:t>
      </w:r>
    </w:p>
    <w:p>
      <w:pPr>
        <w:pStyle w:val="0"/>
        <w:spacing w:before="240" w:lineRule="auto"/>
        <w:ind w:firstLine="540"/>
        <w:jc w:val="both"/>
      </w:pPr>
      <w:r>
        <w:rPr>
          <w:sz w:val="24"/>
        </w:rPr>
        <w:t xml:space="preserve">8. Для выполнения задач физической защиты организацией, ответственной за физическую защиту, совместно с грузоотправителем (в случае, если грузоотправитель не является организацией, ответственной за физическую защиту) должно осуществляться:</w:t>
      </w:r>
    </w:p>
    <w:p>
      <w:pPr>
        <w:pStyle w:val="0"/>
        <w:spacing w:before="240" w:lineRule="auto"/>
        <w:ind w:firstLine="540"/>
        <w:jc w:val="both"/>
      </w:pPr>
      <w:r>
        <w:rPr>
          <w:sz w:val="24"/>
        </w:rPr>
        <w:t xml:space="preserve">а) установление категорий радиационной опасности транспортируемых ЗРИ;</w:t>
      </w:r>
    </w:p>
    <w:p>
      <w:pPr>
        <w:pStyle w:val="0"/>
        <w:spacing w:before="240" w:lineRule="auto"/>
        <w:ind w:firstLine="540"/>
        <w:jc w:val="both"/>
      </w:pPr>
      <w:r>
        <w:rPr>
          <w:sz w:val="24"/>
        </w:rPr>
        <w:t xml:space="preserve">б) определение активности РВ, не входящих в конструкцию ЗРИ (РВ и ЯМ, подлежащих учету в СГУК РВ и РАО, не в составе ЗРИ);</w:t>
      </w:r>
    </w:p>
    <w:p>
      <w:pPr>
        <w:pStyle w:val="0"/>
        <w:spacing w:before="240" w:lineRule="auto"/>
        <w:ind w:firstLine="540"/>
        <w:jc w:val="both"/>
      </w:pPr>
      <w:r>
        <w:rPr>
          <w:sz w:val="24"/>
        </w:rPr>
        <w:t xml:space="preserve">в) установление уровней физической защиты груза (далее - уровни физической защиты) в единичных перевозочных средствах и совокупности грузов в случае транспортирования несколькими автомобилями в одной колонне, в нескольких вагонах одного железнодорожного эшелона или в нескольких отсеках судна;</w:t>
      </w:r>
    </w:p>
    <w:p>
      <w:pPr>
        <w:pStyle w:val="0"/>
        <w:spacing w:before="240" w:lineRule="auto"/>
        <w:ind w:firstLine="540"/>
        <w:jc w:val="both"/>
      </w:pPr>
      <w:r>
        <w:rPr>
          <w:sz w:val="24"/>
        </w:rPr>
        <w:t xml:space="preserve">г) определение и реализация мер физической защиты, предусматриваемых на основании настоящих Правил, в отношении конкретной перевозки с учетом установленного уровня физической защиты.</w:t>
      </w:r>
    </w:p>
    <w:p>
      <w:pPr>
        <w:pStyle w:val="0"/>
        <w:spacing w:before="240" w:lineRule="auto"/>
        <w:ind w:firstLine="540"/>
        <w:jc w:val="both"/>
      </w:pPr>
      <w:r>
        <w:rPr>
          <w:sz w:val="24"/>
        </w:rPr>
        <w:t xml:space="preserve">9. Для дифференцирования мер физической защиты РВ, ЯМ, подлежащих учету в СГУК РВ и РАО, при их транспортировании организацией, ответственной за физическую защиту, должны быть установлены уровни физической защиты ("А", "Б", "В", "Г") исходя из радиационной опасности перевозимых ЗРИ и (или) активности перевозимых РВ, ЯМ, подлежащих учету в СГУК РВ и РАО.</w:t>
      </w:r>
    </w:p>
    <w:p>
      <w:pPr>
        <w:pStyle w:val="0"/>
        <w:spacing w:before="240" w:lineRule="auto"/>
        <w:ind w:firstLine="540"/>
        <w:jc w:val="both"/>
      </w:pPr>
      <w:r>
        <w:rPr>
          <w:sz w:val="24"/>
        </w:rPr>
        <w:t xml:space="preserve">Уровень физической защиты грузов различного вида при их раздельном транспортировании и уровень физической защиты грузов различного вида при их совместном транспортировании должны устанавливаться в соответствии с </w:t>
      </w:r>
      <w:hyperlink w:history="0" w:anchor="P230" w:tooltip="Приложение N 3">
        <w:r>
          <w:rPr>
            <w:sz w:val="24"/>
            <w:color w:val="0000ff"/>
          </w:rPr>
          <w:t xml:space="preserve">приложением N 3</w:t>
        </w:r>
      </w:hyperlink>
      <w:r>
        <w:rPr>
          <w:sz w:val="24"/>
        </w:rPr>
        <w:t xml:space="preserve"> к настоящим Правилам.</w:t>
      </w:r>
    </w:p>
    <w:p>
      <w:pPr>
        <w:pStyle w:val="0"/>
        <w:spacing w:before="240" w:lineRule="auto"/>
        <w:ind w:firstLine="540"/>
        <w:jc w:val="both"/>
      </w:pPr>
      <w:r>
        <w:rPr>
          <w:sz w:val="24"/>
        </w:rPr>
        <w:t xml:space="preserve">Показатель активности груза, содержащего в своем составе только ЗРИ (A/D), определяется в соответствии с </w:t>
      </w:r>
      <w:hyperlink w:history="0" r:id="rId14" w:tooltip="Приказ Ростехнадзора от 28.11.2016 N 503 &quot;Об утверждении федеральных норм и правил в области использования атомной энергии &quot;Основные правила учета и контроля радиоактивных веществ и радиоактивных отходов в организации&quot; (вместе с &quot;НП-067-16. Федеральные нормы и правила...&quot;) (Зарегистрировано в Минюсте России 21.12.2016 N 44843) ------------ Утратил силу или отменен {КонсультантПлюс}">
        <w:r>
          <w:rPr>
            <w:sz w:val="24"/>
            <w:color w:val="0000ff"/>
          </w:rPr>
          <w:t xml:space="preserve">методикой</w:t>
        </w:r>
      </w:hyperlink>
      <w:r>
        <w:rPr>
          <w:sz w:val="24"/>
        </w:rPr>
        <w:t xml:space="preserve"> категорирования закрытых радионуклидных источников по радиационной опасности, приведенной в приложении N 2 к федеральным нормам и правилам в области использования атомной энергии "Основные правила учета и контроля радиоактивных веществ и радиоактивных отходов в организации" (НП-067-16), утвержденным приказом Федеральной службы по экологическому, технологическому и атомному надзору от 28 ноября 2016 г. N 503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Зарегистрирован Министерством юстиции Российской Федерации 21 декабря 2016 г., регистрационный N 44843.</w:t>
      </w:r>
    </w:p>
    <w:p>
      <w:pPr>
        <w:pStyle w:val="0"/>
        <w:jc w:val="both"/>
      </w:pPr>
      <w:r>
        <w:rPr>
          <w:sz w:val="24"/>
        </w:rPr>
      </w:r>
    </w:p>
    <w:p>
      <w:pPr>
        <w:pStyle w:val="0"/>
        <w:ind w:firstLine="540"/>
        <w:jc w:val="both"/>
      </w:pPr>
      <w:r>
        <w:rPr>
          <w:sz w:val="24"/>
        </w:rPr>
        <w:t xml:space="preserve">Показатель активности груза, содержащего в своем составе РВ, ЯМ, подлежащие учету в СГУК РВ и РАО (А/А</w:t>
      </w:r>
      <w:r>
        <w:rPr>
          <w:sz w:val="24"/>
          <w:vertAlign w:val="subscript"/>
        </w:rPr>
        <w:t xml:space="preserve">2</w:t>
      </w:r>
      <w:r>
        <w:rPr>
          <w:sz w:val="24"/>
        </w:rPr>
        <w:t xml:space="preserve">), определяется в соответствии с </w:t>
      </w:r>
      <w:hyperlink w:history="0" r:id="rId15" w:tooltip="Приказ Ростехнадзора от 15.09.2016 N 388 (ред. от 09.09.2025) &quot;Об утверждении федеральных норм и правил в области использования атомной энергии &quot;Правила безопасности при транспортировании радиоактивных материалов&quot; (вместе с &quot;НП-053-16. Федеральные нормы и правила...&quot;) (Зарегистрировано в Минюсте России 24.01.2017 N 45375) {КонсультантПлюс}">
        <w:r>
          <w:rPr>
            <w:sz w:val="24"/>
            <w:color w:val="0000ff"/>
          </w:rPr>
          <w:t xml:space="preserve">приложением N 2</w:t>
        </w:r>
      </w:hyperlink>
      <w:r>
        <w:rPr>
          <w:sz w:val="24"/>
        </w:rPr>
        <w:t xml:space="preserve"> к федеральным нормам и правилам в области использования атомной энергии "Правила безопасности при транспортировании радиоактивных материалов" (НП-053-16), утвержденным приказом Федеральной службы по экологическому, технологическому и атомному надзору от 15 сентября 2016 г. N 388 &lt;4&gt; (далее - НП-053-16).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Зарегистрирован Министерством юстиции Российской Федерации 24 января 2017 г., регистрационный N 45375.</w:t>
      </w:r>
    </w:p>
    <w:p>
      <w:pPr>
        <w:pStyle w:val="0"/>
        <w:jc w:val="both"/>
      </w:pPr>
      <w:r>
        <w:rPr>
          <w:sz w:val="24"/>
        </w:rPr>
      </w:r>
    </w:p>
    <w:p>
      <w:pPr>
        <w:pStyle w:val="0"/>
        <w:ind w:firstLine="540"/>
        <w:jc w:val="both"/>
      </w:pPr>
      <w:r>
        <w:rPr>
          <w:sz w:val="24"/>
        </w:rPr>
        <w:t xml:space="preserve">10. Уровни физической защиты должны быть установлены для:</w:t>
      </w:r>
    </w:p>
    <w:p>
      <w:pPr>
        <w:pStyle w:val="0"/>
        <w:spacing w:before="240" w:lineRule="auto"/>
        <w:ind w:firstLine="540"/>
        <w:jc w:val="both"/>
      </w:pPr>
      <w:r>
        <w:rPr>
          <w:sz w:val="24"/>
        </w:rPr>
        <w:t xml:space="preserve">а) груза в одном перевозочном средстве (на каждом этапе транспортирования);</w:t>
      </w:r>
    </w:p>
    <w:p>
      <w:pPr>
        <w:pStyle w:val="0"/>
        <w:spacing w:before="240" w:lineRule="auto"/>
        <w:ind w:firstLine="540"/>
        <w:jc w:val="both"/>
      </w:pPr>
      <w:r>
        <w:rPr>
          <w:sz w:val="24"/>
        </w:rPr>
        <w:t xml:space="preserve">б) совокупности грузов в группе перевозочных средств, если транспортирование осуществляется колонной автомобильных транспортных средств или в нескольких вагонах одного железнодорожного эшелона, или в нескольких отсеках судна.</w:t>
      </w:r>
    </w:p>
    <w:p>
      <w:pPr>
        <w:pStyle w:val="0"/>
        <w:spacing w:before="240" w:lineRule="auto"/>
        <w:ind w:firstLine="540"/>
        <w:jc w:val="both"/>
      </w:pPr>
      <w:r>
        <w:rPr>
          <w:sz w:val="24"/>
        </w:rPr>
        <w:t xml:space="preserve">11. Сведения об установленных уровнях физической защиты должны документироваться и храниться у организации, ответственной за физическую защиту, не менее пяти лет со дня разгрузки и приемки груза в конечном пункте назначения.</w:t>
      </w:r>
    </w:p>
    <w:p>
      <w:pPr>
        <w:pStyle w:val="0"/>
        <w:spacing w:before="240" w:lineRule="auto"/>
        <w:ind w:firstLine="540"/>
        <w:jc w:val="both"/>
      </w:pPr>
      <w:r>
        <w:rPr>
          <w:sz w:val="24"/>
        </w:rPr>
        <w:t xml:space="preserve">12. Руководитель организации, ответственной за физическую защиту, или лицо, им уполномоченное (далее - руководитель организации, ответственной за физическую защиту, или уполномоченное им лицо), должен утвердить документы по физической защите в зависимости от установленного уровня физической защиты.</w:t>
      </w:r>
    </w:p>
    <w:p>
      <w:pPr>
        <w:pStyle w:val="0"/>
        <w:spacing w:before="240" w:lineRule="auto"/>
        <w:ind w:firstLine="540"/>
        <w:jc w:val="both"/>
      </w:pPr>
      <w:r>
        <w:rPr>
          <w:sz w:val="24"/>
        </w:rPr>
        <w:t xml:space="preserve">Документы по физической защите, подлежащие утверждению и введению в действие в организации, ответственной за физическую защиту, установлены в </w:t>
      </w:r>
      <w:hyperlink w:history="0" w:anchor="P313" w:tooltip="ДОКУМЕНТЫ">
        <w:r>
          <w:rPr>
            <w:sz w:val="24"/>
            <w:color w:val="0000ff"/>
          </w:rPr>
          <w:t xml:space="preserve">приложении N 4</w:t>
        </w:r>
      </w:hyperlink>
      <w:r>
        <w:rPr>
          <w:sz w:val="24"/>
        </w:rPr>
        <w:t xml:space="preserve"> к настоящим Правилам.</w:t>
      </w:r>
    </w:p>
    <w:p>
      <w:pPr>
        <w:pStyle w:val="0"/>
        <w:spacing w:before="240" w:lineRule="auto"/>
        <w:ind w:firstLine="540"/>
        <w:jc w:val="both"/>
      </w:pPr>
      <w:r>
        <w:rPr>
          <w:sz w:val="24"/>
        </w:rPr>
        <w:t xml:space="preserve">Указанные документы по физической защите должны храниться в организации, ответственной за физическую защиту, не менее пяти лет со дня разгрузки и приемки груза в конечном пункте назначения.</w:t>
      </w:r>
    </w:p>
    <w:p>
      <w:pPr>
        <w:pStyle w:val="0"/>
        <w:spacing w:before="240" w:lineRule="auto"/>
        <w:ind w:firstLine="540"/>
        <w:jc w:val="both"/>
      </w:pPr>
      <w:r>
        <w:rPr>
          <w:sz w:val="24"/>
        </w:rPr>
        <w:t xml:space="preserve">13. План физической защиты РВ, ЯМ, подлежащих учету в СГУК РВ и РАО, при их транспортировании должен быть разработан совместно с силами охраны (в случае их привлечения к операциям и условиям, которые связаны с перемещением РВ, ЯМ, подлежащих учету в СГУК РВ и РАО) и утверждается руководителем организации, ответственной за физическую защиту, или уполномоченным им лицом. Содержание указанного плана приведено в </w:t>
      </w:r>
      <w:hyperlink w:history="0" w:anchor="P409" w:tooltip="СОДЕРЖАНИЕ ПЛАНА">
        <w:r>
          <w:rPr>
            <w:sz w:val="24"/>
            <w:color w:val="0000ff"/>
          </w:rPr>
          <w:t xml:space="preserve">приложении N 5</w:t>
        </w:r>
      </w:hyperlink>
      <w:r>
        <w:rPr>
          <w:sz w:val="24"/>
        </w:rPr>
        <w:t xml:space="preserve"> к настоящим Правилам.</w:t>
      </w:r>
    </w:p>
    <w:p>
      <w:pPr>
        <w:pStyle w:val="0"/>
        <w:spacing w:before="240" w:lineRule="auto"/>
        <w:ind w:firstLine="540"/>
        <w:jc w:val="both"/>
      </w:pPr>
      <w:r>
        <w:rPr>
          <w:sz w:val="24"/>
        </w:rPr>
        <w:t xml:space="preserve">Для исключения дублирования информации в плане физической защиты РВ, ЯМ, подлежащих учету в СГУК РВ и РАО, при их транспортировании допускается приводить ссылки на разработанные в организации документы.</w:t>
      </w:r>
    </w:p>
    <w:p>
      <w:pPr>
        <w:pStyle w:val="0"/>
        <w:spacing w:before="240" w:lineRule="auto"/>
        <w:ind w:firstLine="540"/>
        <w:jc w:val="both"/>
      </w:pPr>
      <w:r>
        <w:rPr>
          <w:sz w:val="24"/>
        </w:rPr>
        <w:t xml:space="preserve">14. Документы по физической защите должны оформляться с учетом выполнения требований по защите информации в соответствии с законодательством Российской Федерации, предусматривающих обязательное для выполнения лицом, получившим доступ к информации об охране, о маршруте и времени перевозки, и о перевозимом грузе, требование не передавать такую информацию третьим лицам без согласия ее обладателя.</w:t>
      </w:r>
    </w:p>
    <w:p>
      <w:pPr>
        <w:pStyle w:val="0"/>
        <w:spacing w:before="240" w:lineRule="auto"/>
        <w:ind w:firstLine="540"/>
        <w:jc w:val="both"/>
      </w:pPr>
      <w:r>
        <w:rPr>
          <w:sz w:val="24"/>
        </w:rPr>
        <w:t xml:space="preserve">15. Если грузоотправитель не является организацией, ответственной за физическую защиту, то у него должны храниться не менее пяти лет со дня завершения транспортирования документы (их копии) по физической защите, разработанные организацией, ответственной за физическую защиту:</w:t>
      </w:r>
    </w:p>
    <w:p>
      <w:pPr>
        <w:pStyle w:val="0"/>
        <w:spacing w:before="240" w:lineRule="auto"/>
        <w:ind w:firstLine="540"/>
        <w:jc w:val="both"/>
      </w:pPr>
      <w:r>
        <w:rPr>
          <w:sz w:val="24"/>
        </w:rPr>
        <w:t xml:space="preserve">а) документ, определяющий лиц, ответственных за физическую защиту РВ, ЯМ, подлежащих учету в СГУК РВ и РАО, при их транспортировании;</w:t>
      </w:r>
    </w:p>
    <w:p>
      <w:pPr>
        <w:pStyle w:val="0"/>
        <w:spacing w:before="240" w:lineRule="auto"/>
        <w:ind w:firstLine="540"/>
        <w:jc w:val="both"/>
      </w:pPr>
      <w:r>
        <w:rPr>
          <w:sz w:val="24"/>
        </w:rPr>
        <w:t xml:space="preserve">б) инструкции (план) о порядке действий в штатных и чрезвычайных ситуациях персонала физической защиты организации;</w:t>
      </w:r>
    </w:p>
    <w:p>
      <w:pPr>
        <w:pStyle w:val="0"/>
        <w:spacing w:before="240" w:lineRule="auto"/>
        <w:ind w:firstLine="540"/>
        <w:jc w:val="both"/>
      </w:pPr>
      <w:r>
        <w:rPr>
          <w:sz w:val="24"/>
        </w:rPr>
        <w:t xml:space="preserve">в) документы, подтверждающие проведение инструктажа лиц, сопровождающих груз (в случае их назначения);</w:t>
      </w:r>
    </w:p>
    <w:p>
      <w:pPr>
        <w:pStyle w:val="0"/>
        <w:spacing w:before="240" w:lineRule="auto"/>
        <w:ind w:firstLine="540"/>
        <w:jc w:val="both"/>
      </w:pPr>
      <w:r>
        <w:rPr>
          <w:sz w:val="24"/>
        </w:rPr>
        <w:t xml:space="preserve">г) документ, определяющий перечень перевозимых (транспортируемых) РВ, ЯМ, подлежащих учету в СГУК РВ и РАО, с указанием их активности, категорий;</w:t>
      </w:r>
    </w:p>
    <w:p>
      <w:pPr>
        <w:pStyle w:val="0"/>
        <w:spacing w:before="240" w:lineRule="auto"/>
        <w:ind w:firstLine="540"/>
        <w:jc w:val="both"/>
      </w:pPr>
      <w:r>
        <w:rPr>
          <w:sz w:val="24"/>
        </w:rPr>
        <w:t xml:space="preserve">д) документ, устанавливающий уровень физической защиты;</w:t>
      </w:r>
    </w:p>
    <w:p>
      <w:pPr>
        <w:pStyle w:val="0"/>
        <w:spacing w:before="240" w:lineRule="auto"/>
        <w:ind w:firstLine="540"/>
        <w:jc w:val="both"/>
      </w:pPr>
      <w:r>
        <w:rPr>
          <w:sz w:val="24"/>
        </w:rPr>
        <w:t xml:space="preserve">е) план физической защиты РВ, ЯМ, подлежащих учету в СГУК РВ и РАО, при их транспортировании;</w:t>
      </w:r>
    </w:p>
    <w:p>
      <w:pPr>
        <w:pStyle w:val="0"/>
        <w:spacing w:before="240" w:lineRule="auto"/>
        <w:ind w:firstLine="540"/>
        <w:jc w:val="both"/>
      </w:pPr>
      <w:r>
        <w:rPr>
          <w:sz w:val="24"/>
        </w:rPr>
        <w:t xml:space="preserve">ж) план взаимодействия организации, ответственной за физическую защиту с силами охраны (в случае их привлечения к операциям и условиям, которые связаны с перемещением РВ, ЯМ, подлежащих учету в СГУК РВ и РАО) в штатных и чрезвычайных ситуациях.</w:t>
      </w:r>
    </w:p>
    <w:p>
      <w:pPr>
        <w:pStyle w:val="0"/>
        <w:spacing w:before="240" w:lineRule="auto"/>
        <w:ind w:firstLine="540"/>
        <w:jc w:val="both"/>
      </w:pPr>
      <w:r>
        <w:rPr>
          <w:sz w:val="24"/>
        </w:rPr>
        <w:t xml:space="preserve">16. Физическая защита груза для различных уровней физической защиты должна быть обеспечена руководителем организации, ответственной за физическую защиту, или уполномоченным им лицом, в соответствии с составом требований к физической защите РВ, ЯМ, подлежащих учету в СГУК РВ и РАО, при их транспортировании, приведенным в </w:t>
      </w:r>
      <w:hyperlink w:history="0" w:anchor="P451" w:tooltip="СОСТАВ">
        <w:r>
          <w:rPr>
            <w:sz w:val="24"/>
            <w:color w:val="0000ff"/>
          </w:rPr>
          <w:t xml:space="preserve">приложении N 6</w:t>
        </w:r>
      </w:hyperlink>
      <w:r>
        <w:rPr>
          <w:sz w:val="24"/>
        </w:rPr>
        <w:t xml:space="preserve"> к настоящим Правилам.</w:t>
      </w:r>
    </w:p>
    <w:p>
      <w:pPr>
        <w:pStyle w:val="0"/>
        <w:spacing w:before="240" w:lineRule="auto"/>
        <w:ind w:firstLine="540"/>
        <w:jc w:val="both"/>
      </w:pPr>
      <w:r>
        <w:rPr>
          <w:sz w:val="24"/>
        </w:rPr>
        <w:t xml:space="preserve">Требования </w:t>
      </w:r>
      <w:hyperlink w:history="0" w:anchor="P471" w:tooltip="2">
        <w:r>
          <w:rPr>
            <w:sz w:val="24"/>
            <w:color w:val="0000ff"/>
          </w:rPr>
          <w:t xml:space="preserve">пунктов 2</w:t>
        </w:r>
      </w:hyperlink>
      <w:r>
        <w:rPr>
          <w:sz w:val="24"/>
        </w:rPr>
        <w:t xml:space="preserve">, </w:t>
      </w:r>
      <w:hyperlink w:history="0" w:anchor="P477" w:tooltip="3">
        <w:r>
          <w:rPr>
            <w:sz w:val="24"/>
            <w:color w:val="0000ff"/>
          </w:rPr>
          <w:t xml:space="preserve">3</w:t>
        </w:r>
      </w:hyperlink>
      <w:r>
        <w:rPr>
          <w:sz w:val="24"/>
        </w:rPr>
        <w:t xml:space="preserve">, </w:t>
      </w:r>
      <w:hyperlink w:history="0" w:anchor="P489" w:tooltip="5">
        <w:r>
          <w:rPr>
            <w:sz w:val="24"/>
            <w:color w:val="0000ff"/>
          </w:rPr>
          <w:t xml:space="preserve">5</w:t>
        </w:r>
      </w:hyperlink>
      <w:r>
        <w:rPr>
          <w:sz w:val="24"/>
        </w:rPr>
        <w:t xml:space="preserve">, </w:t>
      </w:r>
      <w:hyperlink w:history="0" w:anchor="P495" w:tooltip="6">
        <w:r>
          <w:rPr>
            <w:sz w:val="24"/>
            <w:color w:val="0000ff"/>
          </w:rPr>
          <w:t xml:space="preserve">6</w:t>
        </w:r>
      </w:hyperlink>
      <w:r>
        <w:rPr>
          <w:sz w:val="24"/>
        </w:rPr>
        <w:t xml:space="preserve">, </w:t>
      </w:r>
      <w:hyperlink w:history="0" w:anchor="P505" w:tooltip="7">
        <w:r>
          <w:rPr>
            <w:sz w:val="24"/>
            <w:color w:val="0000ff"/>
          </w:rPr>
          <w:t xml:space="preserve">7</w:t>
        </w:r>
      </w:hyperlink>
      <w:r>
        <w:rPr>
          <w:sz w:val="24"/>
        </w:rPr>
        <w:t xml:space="preserve">, </w:t>
      </w:r>
      <w:hyperlink w:history="0" w:anchor="P627" w:tooltip="25">
        <w:r>
          <w:rPr>
            <w:sz w:val="24"/>
            <w:color w:val="0000ff"/>
          </w:rPr>
          <w:t xml:space="preserve">25</w:t>
        </w:r>
      </w:hyperlink>
      <w:r>
        <w:rPr>
          <w:sz w:val="24"/>
        </w:rPr>
        <w:t xml:space="preserve"> приложения N 6 к настоящим Правилам не распространяются на транспортирование РВ, ЯМ, подлежащих учету в СГУК РВ и РАО, между радиационными объектами одной и той же организации, а также на транспортирование мобильных РИ, содержащих РВ, ЯМ, подлежащие учету в СГУК РВ и РАО, к месту проведения работ (временного хранения) и обратно.</w:t>
      </w:r>
    </w:p>
    <w:p>
      <w:pPr>
        <w:pStyle w:val="0"/>
        <w:spacing w:before="240" w:lineRule="auto"/>
        <w:ind w:firstLine="540"/>
        <w:jc w:val="both"/>
      </w:pPr>
      <w:r>
        <w:rPr>
          <w:sz w:val="24"/>
        </w:rPr>
        <w:t xml:space="preserve">17. Хранение РВ, ЯМ, подлежащих учету в СГУК РВ и РАО, между их перемещениями в процессе транспортирования должно осуществляться либо при организации временного (транзитного) хранения транспортируемых РВ, ЯМ, подлежащих учету в СГУК РВ и РАО, либо на перевозочных средствах, если время стоянки этих перевозочных средств не превышает трех суток со дня остановки.</w:t>
      </w:r>
    </w:p>
    <w:p>
      <w:pPr>
        <w:pStyle w:val="0"/>
        <w:spacing w:before="240" w:lineRule="auto"/>
        <w:ind w:firstLine="540"/>
        <w:jc w:val="both"/>
      </w:pPr>
      <w:r>
        <w:rPr>
          <w:sz w:val="24"/>
        </w:rPr>
        <w:t xml:space="preserve">При хранении РВ, ЯМ, подлежащих учету в СГУК РВ и РАО, на перевозочных средствах должны выполняться требования к физической защите в соответствии с </w:t>
      </w:r>
      <w:hyperlink w:history="0" w:anchor="P451" w:tooltip="СОСТАВ">
        <w:r>
          <w:rPr>
            <w:sz w:val="24"/>
            <w:color w:val="0000ff"/>
          </w:rPr>
          <w:t xml:space="preserve">приложением N 6</w:t>
        </w:r>
      </w:hyperlink>
      <w:r>
        <w:rPr>
          <w:sz w:val="24"/>
        </w:rPr>
        <w:t xml:space="preserve"> к настоящим Правилам.</w:t>
      </w:r>
    </w:p>
    <w:p>
      <w:pPr>
        <w:pStyle w:val="0"/>
        <w:spacing w:before="240" w:lineRule="auto"/>
        <w:ind w:firstLine="540"/>
        <w:jc w:val="both"/>
      </w:pPr>
      <w:r>
        <w:rPr>
          <w:sz w:val="24"/>
        </w:rPr>
        <w:t xml:space="preserve">18. При транспортировании РВ, ЯМ, подлежащих учету в СГУК РВ и РАО, между радиационными объектами одной и той же организации с выездом на пути общего пользования в данной организации до начала транспортирования должно быть осуществлено:</w:t>
      </w:r>
    </w:p>
    <w:p>
      <w:pPr>
        <w:pStyle w:val="0"/>
        <w:spacing w:before="240" w:lineRule="auto"/>
        <w:ind w:firstLine="540"/>
        <w:jc w:val="both"/>
      </w:pPr>
      <w:r>
        <w:rPr>
          <w:sz w:val="24"/>
        </w:rPr>
        <w:t xml:space="preserve">письменное уведомление соответствующего обособленного подразделения, которое принимает груз, о дате планируемой отправки груза и о планируемом сроке его доставки;</w:t>
      </w:r>
    </w:p>
    <w:p>
      <w:pPr>
        <w:pStyle w:val="0"/>
        <w:spacing w:before="240" w:lineRule="auto"/>
        <w:ind w:firstLine="540"/>
        <w:jc w:val="both"/>
      </w:pPr>
      <w:r>
        <w:rPr>
          <w:sz w:val="24"/>
        </w:rPr>
        <w:t xml:space="preserve">получение письменного подтверждения от соответствующего обособленного подразделения, которое принимает груз, о готовности принять груз в указанные сроки.</w:t>
      </w:r>
    </w:p>
    <w:p>
      <w:pPr>
        <w:pStyle w:val="0"/>
        <w:spacing w:before="240" w:lineRule="auto"/>
        <w:ind w:firstLine="540"/>
        <w:jc w:val="both"/>
      </w:pPr>
      <w:r>
        <w:rPr>
          <w:sz w:val="24"/>
        </w:rPr>
        <w:t xml:space="preserve">Письменные уведомление и подтверждение от соответствующего обособленного подразделения, которое принимает груз, должны храниться в организации не менее пяти лет со дня разгрузки и приемки груза в конечном пункте назначения.</w:t>
      </w:r>
    </w:p>
    <w:p>
      <w:pPr>
        <w:pStyle w:val="0"/>
        <w:spacing w:before="240" w:lineRule="auto"/>
        <w:ind w:firstLine="540"/>
        <w:jc w:val="both"/>
      </w:pPr>
      <w:r>
        <w:rPr>
          <w:sz w:val="24"/>
        </w:rPr>
        <w:t xml:space="preserve">19. Сведения о факте транспортирования РВ, ЯМ, подлежащих учету в СГУК РВ и РАО, между радиационными объектами одной и той же организации с выездом на пути общего пользования должны документироваться и храниться в организации не менее пяти лет со дня разгрузки и приемки груза в конечном пункте назначения.</w:t>
      </w:r>
    </w:p>
    <w:p>
      <w:pPr>
        <w:pStyle w:val="0"/>
        <w:spacing w:before="240" w:lineRule="auto"/>
        <w:ind w:firstLine="540"/>
        <w:jc w:val="both"/>
      </w:pPr>
      <w:r>
        <w:rPr>
          <w:sz w:val="24"/>
        </w:rPr>
        <w:t xml:space="preserve">20. Сведения о факте транспортирования мобильного РИ, содержащего РВ, ЯМ, подлежащие учету в СГУК РВ и РАО, к месту проведения работ (временного хранения) и обратно с выездом на пути общего пользования должны документироваться и храниться в организации, которая эксплуатирует такие мобильные РИ, не менее пяти лет со дня приемки мобильного РИ в конечном пункте назначения.</w:t>
      </w:r>
    </w:p>
    <w:p>
      <w:pPr>
        <w:pStyle w:val="0"/>
        <w:spacing w:before="240" w:lineRule="auto"/>
        <w:ind w:firstLine="540"/>
        <w:jc w:val="both"/>
      </w:pPr>
      <w:r>
        <w:rPr>
          <w:sz w:val="24"/>
        </w:rPr>
        <w:t xml:space="preserve">21. В случае выезда на пути общего пользования при транспортировании РВ, ЯМ, подлежащих учету в СГУК РВ и РАО, между радиационными объектами одной и той же организации, а также при транспортировании мобильного РИ, содержащего РВ, ЯМ, подлежащие учету в СГУК РВ и РАО, к месту проведения работ (временного хранения) и обратно, сопровождающие лица по прибытию груза в место назначения (место проведения работ, временного хранения) должны проверить целостность замков и пломб, установленных на грузе.</w:t>
      </w:r>
    </w:p>
    <w:p>
      <w:pPr>
        <w:pStyle w:val="0"/>
        <w:jc w:val="both"/>
      </w:pPr>
      <w:r>
        <w:rPr>
          <w:sz w:val="24"/>
        </w:rPr>
      </w:r>
    </w:p>
    <w:p>
      <w:pPr>
        <w:pStyle w:val="2"/>
        <w:outlineLvl w:val="1"/>
        <w:jc w:val="center"/>
      </w:pPr>
      <w:r>
        <w:rPr>
          <w:sz w:val="24"/>
        </w:rPr>
        <w:t xml:space="preserve">IV. Уведомление о несанкционированных действиях</w:t>
      </w:r>
    </w:p>
    <w:p>
      <w:pPr>
        <w:pStyle w:val="0"/>
        <w:jc w:val="both"/>
      </w:pPr>
      <w:r>
        <w:rPr>
          <w:sz w:val="24"/>
        </w:rPr>
      </w:r>
    </w:p>
    <w:bookmarkStart w:id="132" w:name="P132"/>
    <w:bookmarkEnd w:id="132"/>
    <w:p>
      <w:pPr>
        <w:pStyle w:val="0"/>
        <w:ind w:firstLine="540"/>
        <w:jc w:val="both"/>
      </w:pPr>
      <w:r>
        <w:rPr>
          <w:sz w:val="24"/>
        </w:rPr>
        <w:t xml:space="preserve">22. О выявленном случае хищения РВ, ЯМ, подлежащих учету в СГУК РВ и РАО, или совершения диверсии, попытке совершения таких действий или об обнаружении похищенных либо пропавших РВ, ЯМ, подлежащих учету в СГУК РВ и РАО, организация, ответственная за физическую защиту, по каналу любого вида связи, определенного в плане физической защиты РВ, ЯМ, подлежащих учету в СГУК РВ и РАО, при их транспортировании должна по месту совершения хищения или диверсии в течение часа с момента обнаружения направить первичное уведомление:</w:t>
      </w:r>
    </w:p>
    <w:p>
      <w:pPr>
        <w:pStyle w:val="0"/>
        <w:spacing w:before="240" w:lineRule="auto"/>
        <w:ind w:firstLine="540"/>
        <w:jc w:val="both"/>
      </w:pPr>
      <w:r>
        <w:rPr>
          <w:sz w:val="24"/>
        </w:rPr>
        <w:t xml:space="preserve">а) в организации, определенные в плане взаимодействия организации, ответственной за физическую защиту, с силами охраны (в случае их привлечения к операциям и условиям, которые связаны с перемещением РВ, ЯМ, подлежащих учету в СГУК РВ и РАО) в штатных и чрезвычайных ситуациях;</w:t>
      </w:r>
    </w:p>
    <w:p>
      <w:pPr>
        <w:pStyle w:val="0"/>
        <w:spacing w:before="240" w:lineRule="auto"/>
        <w:ind w:firstLine="540"/>
        <w:jc w:val="both"/>
      </w:pPr>
      <w:r>
        <w:rPr>
          <w:sz w:val="24"/>
        </w:rPr>
        <w:t xml:space="preserve">б) оперативному дежурному Ростехнадзора;</w:t>
      </w:r>
    </w:p>
    <w:p>
      <w:pPr>
        <w:pStyle w:val="0"/>
        <w:spacing w:before="240" w:lineRule="auto"/>
        <w:ind w:firstLine="540"/>
        <w:jc w:val="both"/>
      </w:pPr>
      <w:r>
        <w:rPr>
          <w:sz w:val="24"/>
        </w:rPr>
        <w:t xml:space="preserve">в) межрегиональному территориальному управлению по надзору за ядерной и радиационной безопасностью Ростехнадзора, которое непосредственно осуществляет надзор за организацией.</w:t>
      </w:r>
    </w:p>
    <w:p>
      <w:pPr>
        <w:pStyle w:val="0"/>
        <w:spacing w:before="240" w:lineRule="auto"/>
        <w:ind w:firstLine="540"/>
        <w:jc w:val="both"/>
      </w:pPr>
      <w:r>
        <w:rPr>
          <w:sz w:val="24"/>
        </w:rPr>
        <w:t xml:space="preserve">23. В течение 24 часов после выявления нарушения, связанного с хищением РВ, ЯМ, подлежащих учету в СГУК РВ и РАО, или совершением диверсии, попытками совершения таких действий или обнаружением похищенных либо пропавших РВ, ЯМ, подлежащих учету в СГУК РВ и РАО, по каналу любого вида связи, определенного в плане физической защиты РВ, ЯМ, подлежащих учету в СГУК РВ и РАО, при их транспортировании, организациям и органам, указанным в </w:t>
      </w:r>
      <w:hyperlink w:history="0" w:anchor="P132" w:tooltip="22. О выявленном случае хищения РВ, ЯМ, подлежащих учету в СГУК РВ и РАО, или совершения диверсии, попытке совершения таких действий или об обнаружении похищенных либо пропавших РВ, ЯМ, подлежащих учету в СГУК РВ и РАО, организация, ответственная за физическую защиту, по каналу любого вида связи, определенного в плане физической защиты РВ, ЯМ, подлежащих учету в СГУК РВ и РАО, при их транспортировании должна по месту совершения хищения или диверсии в течение часа с момента обнаружения направить первичное...">
        <w:r>
          <w:rPr>
            <w:sz w:val="24"/>
            <w:color w:val="0000ff"/>
          </w:rPr>
          <w:t xml:space="preserve">пункте 22</w:t>
        </w:r>
      </w:hyperlink>
      <w:r>
        <w:rPr>
          <w:sz w:val="24"/>
        </w:rPr>
        <w:t xml:space="preserve"> настоящих Правил, должно быть представлено подписанное руководителем организации, ответственной за физическую защиту, или уполномоченным им лицом, уведомление, содержащее следующие сведения:</w:t>
      </w:r>
    </w:p>
    <w:p>
      <w:pPr>
        <w:pStyle w:val="0"/>
        <w:spacing w:before="240" w:lineRule="auto"/>
        <w:ind w:firstLine="540"/>
        <w:jc w:val="both"/>
      </w:pPr>
      <w:r>
        <w:rPr>
          <w:sz w:val="24"/>
        </w:rPr>
        <w:t xml:space="preserve">а) наименования участвующих в транспортировании организаций (грузоотправителя, грузополучателя, перевозчика);</w:t>
      </w:r>
    </w:p>
    <w:p>
      <w:pPr>
        <w:pStyle w:val="0"/>
        <w:spacing w:before="240" w:lineRule="auto"/>
        <w:ind w:firstLine="540"/>
        <w:jc w:val="both"/>
      </w:pPr>
      <w:r>
        <w:rPr>
          <w:sz w:val="24"/>
        </w:rPr>
        <w:t xml:space="preserve">б) информация о лице, обнаружившем нарушение, связанное с хищением РВ, ЯМ, подлежащих учету в СГУК РВ и РАО, или совершением диверсии, попытками совершения таких действий или обнаружением похищенных либо пропавших РВ, ЯМ, подлежащих учету в СГУК РВ и РАО;</w:t>
      </w:r>
    </w:p>
    <w:p>
      <w:pPr>
        <w:pStyle w:val="0"/>
        <w:spacing w:before="240" w:lineRule="auto"/>
        <w:ind w:firstLine="540"/>
        <w:jc w:val="both"/>
      </w:pPr>
      <w:r>
        <w:rPr>
          <w:sz w:val="24"/>
        </w:rPr>
        <w:t xml:space="preserve">в) дату и время выявленного нарушения, связанного с хищением РВ, ЯМ, подлежащих учету в СГУК РВ и РАО, или совершением диверсии, попытками совершения таких действий или обнаружением похищенных либо пропавших РВ, ЯМ, подлежащих учету в СГУК РВ и РАО;</w:t>
      </w:r>
    </w:p>
    <w:p>
      <w:pPr>
        <w:pStyle w:val="0"/>
        <w:spacing w:before="240" w:lineRule="auto"/>
        <w:ind w:firstLine="540"/>
        <w:jc w:val="both"/>
      </w:pPr>
      <w:r>
        <w:rPr>
          <w:sz w:val="24"/>
        </w:rPr>
        <w:t xml:space="preserve">г) местоположение нарушения, связанного с хищением РВ, ЯМ, подлежащих учету в СГУК РВ и РАО, или совершением диверсии, попытками совершения таких действий или обнаружением похищенных либо пропавших РВ, ЯМ, подлежащих учету в СГУК РВ и РАО, и описание обстоятельств, связанных с пропажей, хищением РВ, ЯМ, подлежащих учету в СГУК РВ и РАО, или совершения диверсии, попыток совершения таких действий;</w:t>
      </w:r>
    </w:p>
    <w:p>
      <w:pPr>
        <w:pStyle w:val="0"/>
        <w:spacing w:before="240" w:lineRule="auto"/>
        <w:ind w:firstLine="540"/>
        <w:jc w:val="both"/>
      </w:pPr>
      <w:r>
        <w:rPr>
          <w:sz w:val="24"/>
        </w:rPr>
        <w:t xml:space="preserve">д) вид, категории, количественные характеристики РВ, ЯМ, подлежащих учету в СГУК РВ и РАО, в отношении которых были осуществлены несанкционированные действия, а также вид пропавших либо обнаруженных РВ, ЯМ, подлежащих учету в СГУК РВ и РАО;</w:t>
      </w:r>
    </w:p>
    <w:p>
      <w:pPr>
        <w:pStyle w:val="0"/>
        <w:spacing w:before="240" w:lineRule="auto"/>
        <w:ind w:firstLine="540"/>
        <w:jc w:val="both"/>
      </w:pPr>
      <w:r>
        <w:rPr>
          <w:sz w:val="24"/>
        </w:rPr>
        <w:t xml:space="preserve">е) принятые меры, их результат и план дальнейших действий для решения возникших проблем.</w:t>
      </w:r>
    </w:p>
    <w:p>
      <w:pPr>
        <w:pStyle w:val="0"/>
        <w:spacing w:before="240" w:lineRule="auto"/>
        <w:ind w:firstLine="540"/>
        <w:jc w:val="both"/>
      </w:pPr>
      <w:r>
        <w:rPr>
          <w:sz w:val="24"/>
        </w:rPr>
        <w:t xml:space="preserve">24. Дополнительная информация, включая новые факты, ставшие известными после направления первичного уведомления и последующего представления уведомления, должна направляться в течение 24 часов со дня обнаружения указанных обстоятельств руководителем организации, ответственной за физическую защиту, или лицом им уполномоченным, в организации и органы, указанные в </w:t>
      </w:r>
      <w:hyperlink w:history="0" w:anchor="P132" w:tooltip="22. О выявленном случае хищения РВ, ЯМ, подлежащих учету в СГУК РВ и РАО, или совершения диверсии, попытке совершения таких действий или об обнаружении похищенных либо пропавших РВ, ЯМ, подлежащих учету в СГУК РВ и РАО, организация, ответственная за физическую защиту, по каналу любого вида связи, определенного в плане физической защиты РВ, ЯМ, подлежащих учету в СГУК РВ и РАО, при их транспортировании должна по месту совершения хищения или диверсии в течение часа с момента обнаружения направить первичное...">
        <w:r>
          <w:rPr>
            <w:sz w:val="24"/>
            <w:color w:val="0000ff"/>
          </w:rPr>
          <w:t xml:space="preserve">пункте 22</w:t>
        </w:r>
      </w:hyperlink>
      <w:r>
        <w:rPr>
          <w:sz w:val="24"/>
        </w:rPr>
        <w:t xml:space="preserve"> настоящих Правил.</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федеральным нормам и правилам в области</w:t>
      </w:r>
    </w:p>
    <w:p>
      <w:pPr>
        <w:pStyle w:val="0"/>
        <w:jc w:val="right"/>
      </w:pPr>
      <w:r>
        <w:rPr>
          <w:sz w:val="24"/>
        </w:rPr>
        <w:t xml:space="preserve">использования атомной энергии "Правила</w:t>
      </w:r>
    </w:p>
    <w:p>
      <w:pPr>
        <w:pStyle w:val="0"/>
        <w:jc w:val="right"/>
      </w:pPr>
      <w:r>
        <w:rPr>
          <w:sz w:val="24"/>
        </w:rPr>
        <w:t xml:space="preserve">физической защиты радиоактивных веществ</w:t>
      </w:r>
    </w:p>
    <w:p>
      <w:pPr>
        <w:pStyle w:val="0"/>
        <w:jc w:val="right"/>
      </w:pPr>
      <w:r>
        <w:rPr>
          <w:sz w:val="24"/>
        </w:rPr>
        <w:t xml:space="preserve">и отдельных ядерных материалов</w:t>
      </w:r>
    </w:p>
    <w:p>
      <w:pPr>
        <w:pStyle w:val="0"/>
        <w:jc w:val="right"/>
      </w:pPr>
      <w:r>
        <w:rPr>
          <w:sz w:val="24"/>
        </w:rPr>
        <w:t xml:space="preserve">при их транспортировании", утвержденным</w:t>
      </w:r>
    </w:p>
    <w:p>
      <w:pPr>
        <w:pStyle w:val="0"/>
        <w:jc w:val="right"/>
      </w:pPr>
      <w:r>
        <w:rPr>
          <w:sz w:val="24"/>
        </w:rPr>
        <w:t xml:space="preserve">приказом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23 ноября 2023 г. N 416</w:t>
      </w:r>
    </w:p>
    <w:p>
      <w:pPr>
        <w:pStyle w:val="0"/>
        <w:jc w:val="both"/>
      </w:pPr>
      <w:r>
        <w:rPr>
          <w:sz w:val="24"/>
        </w:rPr>
      </w:r>
    </w:p>
    <w:bookmarkStart w:id="160" w:name="P160"/>
    <w:bookmarkEnd w:id="160"/>
    <w:p>
      <w:pPr>
        <w:pStyle w:val="2"/>
        <w:jc w:val="center"/>
      </w:pPr>
      <w:r>
        <w:rPr>
          <w:sz w:val="24"/>
        </w:rPr>
        <w:t xml:space="preserve">ПЕРЕЧЕНЬ СОКРАЩЕНИЙ</w:t>
      </w:r>
    </w:p>
    <w:p>
      <w:pPr>
        <w:pStyle w:val="0"/>
        <w:jc w:val="both"/>
      </w:pPr>
      <w:r>
        <w:rPr>
          <w:sz w:val="24"/>
        </w:rPr>
      </w:r>
    </w:p>
    <w:tbl>
      <w:tblPr>
        <w:tblInd w:w="0" w:type="dxa"/>
        <w:tblLayout w:type="fixed"/>
        <w:tblCellMar>
          <w:top w:w="102" w:type="dxa"/>
          <w:left w:w="62" w:type="dxa"/>
          <w:bottom w:w="102" w:type="dxa"/>
          <w:right w:w="62" w:type="dxa"/>
        </w:tblCellMar>
      </w:tblPr>
      <w:tblGrid>
        <w:gridCol w:w="2154"/>
        <w:gridCol w:w="413"/>
        <w:gridCol w:w="6463"/>
      </w:tblGrid>
      <w:tr>
        <w:tc>
          <w:tcPr>
            <w:tcW w:w="2154" w:type="dxa"/>
            <w:vAlign w:val="center"/>
            <w:tcBorders>
              <w:top w:val="nil"/>
              <w:left w:val="nil"/>
              <w:bottom w:val="nil"/>
              <w:right w:val="nil"/>
            </w:tcBorders>
          </w:tcPr>
          <w:p>
            <w:pPr>
              <w:pStyle w:val="0"/>
            </w:pPr>
            <w:r>
              <w:rPr>
                <w:sz w:val="24"/>
              </w:rPr>
              <w:t xml:space="preserve">ЗОД</w:t>
            </w:r>
          </w:p>
        </w:tc>
        <w:tc>
          <w:tcPr>
            <w:tcW w:w="413" w:type="dxa"/>
            <w:vAlign w:val="center"/>
            <w:tcBorders>
              <w:top w:val="nil"/>
              <w:left w:val="nil"/>
              <w:bottom w:val="nil"/>
              <w:right w:val="nil"/>
            </w:tcBorders>
          </w:tcPr>
          <w:p>
            <w:pPr>
              <w:pStyle w:val="0"/>
            </w:pPr>
            <w:r>
              <w:rPr>
                <w:sz w:val="24"/>
              </w:rPr>
              <w:t xml:space="preserve">-</w:t>
            </w:r>
          </w:p>
        </w:tc>
        <w:tc>
          <w:tcPr>
            <w:tcW w:w="6463" w:type="dxa"/>
            <w:tcBorders>
              <w:top w:val="nil"/>
              <w:left w:val="nil"/>
              <w:bottom w:val="nil"/>
              <w:right w:val="nil"/>
            </w:tcBorders>
          </w:tcPr>
          <w:p>
            <w:pPr>
              <w:pStyle w:val="0"/>
            </w:pPr>
            <w:r>
              <w:rPr>
                <w:sz w:val="24"/>
              </w:rPr>
              <w:t xml:space="preserve">зона ограниченного доступа</w:t>
            </w:r>
          </w:p>
        </w:tc>
      </w:tr>
      <w:tr>
        <w:tc>
          <w:tcPr>
            <w:tcW w:w="2154" w:type="dxa"/>
            <w:vAlign w:val="center"/>
            <w:tcBorders>
              <w:top w:val="nil"/>
              <w:left w:val="nil"/>
              <w:bottom w:val="nil"/>
              <w:right w:val="nil"/>
            </w:tcBorders>
          </w:tcPr>
          <w:p>
            <w:pPr>
              <w:pStyle w:val="0"/>
            </w:pPr>
            <w:r>
              <w:rPr>
                <w:sz w:val="24"/>
              </w:rPr>
              <w:t xml:space="preserve">ЗРИ</w:t>
            </w:r>
          </w:p>
        </w:tc>
        <w:tc>
          <w:tcPr>
            <w:tcW w:w="413" w:type="dxa"/>
            <w:vAlign w:val="center"/>
            <w:tcBorders>
              <w:top w:val="nil"/>
              <w:left w:val="nil"/>
              <w:bottom w:val="nil"/>
              <w:right w:val="nil"/>
            </w:tcBorders>
          </w:tcPr>
          <w:p>
            <w:pPr>
              <w:pStyle w:val="0"/>
            </w:pPr>
            <w:r>
              <w:rPr>
                <w:sz w:val="24"/>
              </w:rPr>
              <w:t xml:space="preserve">-</w:t>
            </w:r>
          </w:p>
        </w:tc>
        <w:tc>
          <w:tcPr>
            <w:tcW w:w="6463" w:type="dxa"/>
            <w:tcBorders>
              <w:top w:val="nil"/>
              <w:left w:val="nil"/>
              <w:bottom w:val="nil"/>
              <w:right w:val="nil"/>
            </w:tcBorders>
          </w:tcPr>
          <w:p>
            <w:pPr>
              <w:pStyle w:val="0"/>
            </w:pPr>
            <w:r>
              <w:rPr>
                <w:sz w:val="24"/>
              </w:rPr>
              <w:t xml:space="preserve">закрытый радионуклидный источник</w:t>
            </w:r>
          </w:p>
        </w:tc>
      </w:tr>
      <w:tr>
        <w:tc>
          <w:tcPr>
            <w:tcW w:w="2154" w:type="dxa"/>
            <w:tcBorders>
              <w:top w:val="nil"/>
              <w:left w:val="nil"/>
              <w:bottom w:val="nil"/>
              <w:right w:val="nil"/>
            </w:tcBorders>
          </w:tcPr>
          <w:p>
            <w:pPr>
              <w:pStyle w:val="0"/>
            </w:pPr>
            <w:r>
              <w:rPr>
                <w:sz w:val="24"/>
              </w:rPr>
              <w:t xml:space="preserve">ИТСФЗ</w:t>
            </w:r>
          </w:p>
        </w:tc>
        <w:tc>
          <w:tcPr>
            <w:tcW w:w="413" w:type="dxa"/>
            <w:tcBorders>
              <w:top w:val="nil"/>
              <w:left w:val="nil"/>
              <w:bottom w:val="nil"/>
              <w:right w:val="nil"/>
            </w:tcBorders>
          </w:tcPr>
          <w:p>
            <w:pPr>
              <w:pStyle w:val="0"/>
            </w:pPr>
            <w:r>
              <w:rPr>
                <w:sz w:val="24"/>
              </w:rPr>
              <w:t xml:space="preserve">-</w:t>
            </w:r>
          </w:p>
        </w:tc>
        <w:tc>
          <w:tcPr>
            <w:tcW w:w="6463" w:type="dxa"/>
            <w:tcBorders>
              <w:top w:val="nil"/>
              <w:left w:val="nil"/>
              <w:bottom w:val="nil"/>
              <w:right w:val="nil"/>
            </w:tcBorders>
          </w:tcPr>
          <w:p>
            <w:pPr>
              <w:pStyle w:val="0"/>
            </w:pPr>
            <w:r>
              <w:rPr>
                <w:sz w:val="24"/>
              </w:rPr>
              <w:t xml:space="preserve">инженерные и технические средства физической защиты</w:t>
            </w:r>
          </w:p>
        </w:tc>
      </w:tr>
      <w:tr>
        <w:tc>
          <w:tcPr>
            <w:tcW w:w="2154" w:type="dxa"/>
            <w:tcBorders>
              <w:top w:val="nil"/>
              <w:left w:val="nil"/>
              <w:bottom w:val="nil"/>
              <w:right w:val="nil"/>
            </w:tcBorders>
          </w:tcPr>
          <w:p>
            <w:pPr>
              <w:pStyle w:val="0"/>
            </w:pPr>
            <w:r>
              <w:rPr>
                <w:sz w:val="24"/>
              </w:rPr>
              <w:t xml:space="preserve">РВ</w:t>
            </w:r>
          </w:p>
        </w:tc>
        <w:tc>
          <w:tcPr>
            <w:tcW w:w="413" w:type="dxa"/>
            <w:tcBorders>
              <w:top w:val="nil"/>
              <w:left w:val="nil"/>
              <w:bottom w:val="nil"/>
              <w:right w:val="nil"/>
            </w:tcBorders>
          </w:tcPr>
          <w:p>
            <w:pPr>
              <w:pStyle w:val="0"/>
            </w:pPr>
            <w:r>
              <w:rPr>
                <w:sz w:val="24"/>
              </w:rPr>
              <w:t xml:space="preserve">-</w:t>
            </w:r>
          </w:p>
        </w:tc>
        <w:tc>
          <w:tcPr>
            <w:tcW w:w="6463" w:type="dxa"/>
            <w:tcBorders>
              <w:top w:val="nil"/>
              <w:left w:val="nil"/>
              <w:bottom w:val="nil"/>
              <w:right w:val="nil"/>
            </w:tcBorders>
          </w:tcPr>
          <w:p>
            <w:pPr>
              <w:pStyle w:val="0"/>
            </w:pPr>
            <w:r>
              <w:rPr>
                <w:sz w:val="24"/>
              </w:rPr>
              <w:t xml:space="preserve">радиоактивные вещества (включая не подлежащие дальнейшему использованию вещества)</w:t>
            </w:r>
          </w:p>
        </w:tc>
      </w:tr>
      <w:tr>
        <w:tc>
          <w:tcPr>
            <w:tcW w:w="2154" w:type="dxa"/>
            <w:tcBorders>
              <w:top w:val="nil"/>
              <w:left w:val="nil"/>
              <w:bottom w:val="nil"/>
              <w:right w:val="nil"/>
            </w:tcBorders>
          </w:tcPr>
          <w:p>
            <w:pPr>
              <w:pStyle w:val="0"/>
            </w:pPr>
            <w:r>
              <w:rPr>
                <w:sz w:val="24"/>
              </w:rPr>
              <w:t xml:space="preserve">РИ</w:t>
            </w:r>
          </w:p>
        </w:tc>
        <w:tc>
          <w:tcPr>
            <w:tcW w:w="413" w:type="dxa"/>
            <w:tcBorders>
              <w:top w:val="nil"/>
              <w:left w:val="nil"/>
              <w:bottom w:val="nil"/>
              <w:right w:val="nil"/>
            </w:tcBorders>
          </w:tcPr>
          <w:p>
            <w:pPr>
              <w:pStyle w:val="0"/>
            </w:pPr>
            <w:r>
              <w:rPr>
                <w:sz w:val="24"/>
              </w:rPr>
              <w:t xml:space="preserve">-</w:t>
            </w:r>
          </w:p>
        </w:tc>
        <w:tc>
          <w:tcPr>
            <w:tcW w:w="6463" w:type="dxa"/>
            <w:tcBorders>
              <w:top w:val="nil"/>
              <w:left w:val="nil"/>
              <w:bottom w:val="nil"/>
              <w:right w:val="nil"/>
            </w:tcBorders>
          </w:tcPr>
          <w:p>
            <w:pPr>
              <w:pStyle w:val="0"/>
            </w:pPr>
            <w:r>
              <w:rPr>
                <w:sz w:val="24"/>
              </w:rPr>
              <w:t xml:space="preserve">радиационный источник, имеющий радионуклидный источник</w:t>
            </w:r>
          </w:p>
        </w:tc>
      </w:tr>
      <w:tr>
        <w:tc>
          <w:tcPr>
            <w:tcW w:w="2154" w:type="dxa"/>
            <w:tcBorders>
              <w:top w:val="nil"/>
              <w:left w:val="nil"/>
              <w:bottom w:val="nil"/>
              <w:right w:val="nil"/>
            </w:tcBorders>
          </w:tcPr>
          <w:p>
            <w:pPr>
              <w:pStyle w:val="0"/>
            </w:pPr>
            <w:r>
              <w:rPr>
                <w:sz w:val="24"/>
              </w:rPr>
              <w:t xml:space="preserve">СГУК РВ и РАО</w:t>
            </w:r>
          </w:p>
        </w:tc>
        <w:tc>
          <w:tcPr>
            <w:tcW w:w="413" w:type="dxa"/>
            <w:tcBorders>
              <w:top w:val="nil"/>
              <w:left w:val="nil"/>
              <w:bottom w:val="nil"/>
              <w:right w:val="nil"/>
            </w:tcBorders>
          </w:tcPr>
          <w:p>
            <w:pPr>
              <w:pStyle w:val="0"/>
            </w:pPr>
            <w:r>
              <w:rPr>
                <w:sz w:val="24"/>
              </w:rPr>
              <w:t xml:space="preserve">-</w:t>
            </w:r>
          </w:p>
        </w:tc>
        <w:tc>
          <w:tcPr>
            <w:tcW w:w="6463" w:type="dxa"/>
            <w:tcBorders>
              <w:top w:val="nil"/>
              <w:left w:val="nil"/>
              <w:bottom w:val="nil"/>
              <w:right w:val="nil"/>
            </w:tcBorders>
          </w:tcPr>
          <w:p>
            <w:pPr>
              <w:pStyle w:val="0"/>
            </w:pPr>
            <w:r>
              <w:rPr>
                <w:sz w:val="24"/>
              </w:rPr>
              <w:t xml:space="preserve">система государственного учета и контроля радиоактивных веществ и радиоактивных отходов</w:t>
            </w:r>
          </w:p>
        </w:tc>
      </w:tr>
      <w:tr>
        <w:tc>
          <w:tcPr>
            <w:tcW w:w="2154" w:type="dxa"/>
            <w:tcBorders>
              <w:top w:val="nil"/>
              <w:left w:val="nil"/>
              <w:bottom w:val="nil"/>
              <w:right w:val="nil"/>
            </w:tcBorders>
          </w:tcPr>
          <w:p>
            <w:pPr>
              <w:pStyle w:val="0"/>
            </w:pPr>
            <w:r>
              <w:rPr>
                <w:sz w:val="24"/>
              </w:rPr>
              <w:t xml:space="preserve">СГУК ЯМ</w:t>
            </w:r>
          </w:p>
        </w:tc>
        <w:tc>
          <w:tcPr>
            <w:tcW w:w="413" w:type="dxa"/>
            <w:tcBorders>
              <w:top w:val="nil"/>
              <w:left w:val="nil"/>
              <w:bottom w:val="nil"/>
              <w:right w:val="nil"/>
            </w:tcBorders>
          </w:tcPr>
          <w:p>
            <w:pPr>
              <w:pStyle w:val="0"/>
            </w:pPr>
            <w:r>
              <w:rPr>
                <w:sz w:val="24"/>
              </w:rPr>
              <w:t xml:space="preserve">-</w:t>
            </w:r>
          </w:p>
        </w:tc>
        <w:tc>
          <w:tcPr>
            <w:tcW w:w="6463" w:type="dxa"/>
            <w:tcBorders>
              <w:top w:val="nil"/>
              <w:left w:val="nil"/>
              <w:bottom w:val="nil"/>
              <w:right w:val="nil"/>
            </w:tcBorders>
          </w:tcPr>
          <w:p>
            <w:pPr>
              <w:pStyle w:val="0"/>
            </w:pPr>
            <w:r>
              <w:rPr>
                <w:sz w:val="24"/>
              </w:rPr>
              <w:t xml:space="preserve">система государственного учета и контроля ядерных материалов</w:t>
            </w:r>
          </w:p>
        </w:tc>
      </w:tr>
      <w:tr>
        <w:tc>
          <w:tcPr>
            <w:tcW w:w="2154" w:type="dxa"/>
            <w:tcBorders>
              <w:top w:val="nil"/>
              <w:left w:val="nil"/>
              <w:bottom w:val="nil"/>
              <w:right w:val="nil"/>
            </w:tcBorders>
          </w:tcPr>
          <w:p>
            <w:pPr>
              <w:pStyle w:val="0"/>
            </w:pPr>
            <w:r>
              <w:rPr>
                <w:sz w:val="24"/>
              </w:rPr>
              <w:t xml:space="preserve">ЯМ</w:t>
            </w:r>
          </w:p>
        </w:tc>
        <w:tc>
          <w:tcPr>
            <w:tcW w:w="413" w:type="dxa"/>
            <w:vAlign w:val="center"/>
            <w:tcBorders>
              <w:top w:val="nil"/>
              <w:left w:val="nil"/>
              <w:bottom w:val="nil"/>
              <w:right w:val="nil"/>
            </w:tcBorders>
          </w:tcPr>
          <w:p>
            <w:pPr>
              <w:pStyle w:val="0"/>
            </w:pPr>
            <w:r>
              <w:rPr>
                <w:sz w:val="24"/>
              </w:rPr>
              <w:t xml:space="preserve">-</w:t>
            </w:r>
          </w:p>
        </w:tc>
        <w:tc>
          <w:tcPr>
            <w:tcW w:w="6463" w:type="dxa"/>
            <w:tcBorders>
              <w:top w:val="nil"/>
              <w:left w:val="nil"/>
              <w:bottom w:val="nil"/>
              <w:right w:val="nil"/>
            </w:tcBorders>
          </w:tcPr>
          <w:p>
            <w:pPr>
              <w:pStyle w:val="0"/>
            </w:pPr>
            <w:r>
              <w:rPr>
                <w:sz w:val="24"/>
              </w:rPr>
              <w:t xml:space="preserve">ядерные материалы (включая не подлежащие дальнейшему использованию материалы)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федеральным нормам и правилам в области</w:t>
      </w:r>
    </w:p>
    <w:p>
      <w:pPr>
        <w:pStyle w:val="0"/>
        <w:jc w:val="right"/>
      </w:pPr>
      <w:r>
        <w:rPr>
          <w:sz w:val="24"/>
        </w:rPr>
        <w:t xml:space="preserve">использования атомной энергии "Правила</w:t>
      </w:r>
    </w:p>
    <w:p>
      <w:pPr>
        <w:pStyle w:val="0"/>
        <w:jc w:val="right"/>
      </w:pPr>
      <w:r>
        <w:rPr>
          <w:sz w:val="24"/>
        </w:rPr>
        <w:t xml:space="preserve">физической защиты радиоактивных веществ</w:t>
      </w:r>
    </w:p>
    <w:p>
      <w:pPr>
        <w:pStyle w:val="0"/>
        <w:jc w:val="right"/>
      </w:pPr>
      <w:r>
        <w:rPr>
          <w:sz w:val="24"/>
        </w:rPr>
        <w:t xml:space="preserve">и отдельных ядерных материалов</w:t>
      </w:r>
    </w:p>
    <w:p>
      <w:pPr>
        <w:pStyle w:val="0"/>
        <w:jc w:val="right"/>
      </w:pPr>
      <w:r>
        <w:rPr>
          <w:sz w:val="24"/>
        </w:rPr>
        <w:t xml:space="preserve">при их транспортировании", утвержденным</w:t>
      </w:r>
    </w:p>
    <w:p>
      <w:pPr>
        <w:pStyle w:val="0"/>
        <w:jc w:val="right"/>
      </w:pPr>
      <w:r>
        <w:rPr>
          <w:sz w:val="24"/>
        </w:rPr>
        <w:t xml:space="preserve">приказом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23 ноября 2023 г. N 416</w:t>
      </w:r>
    </w:p>
    <w:p>
      <w:pPr>
        <w:pStyle w:val="0"/>
        <w:jc w:val="both"/>
      </w:pPr>
      <w:r>
        <w:rPr>
          <w:sz w:val="24"/>
        </w:rPr>
      </w:r>
    </w:p>
    <w:bookmarkStart w:id="202" w:name="P202"/>
    <w:bookmarkEnd w:id="202"/>
    <w:p>
      <w:pPr>
        <w:pStyle w:val="2"/>
        <w:jc w:val="center"/>
      </w:pPr>
      <w:r>
        <w:rPr>
          <w:sz w:val="24"/>
        </w:rPr>
        <w:t xml:space="preserve">ТЕРМИНЫ И ОПРЕДЕЛЕНИЯ</w:t>
      </w:r>
    </w:p>
    <w:p>
      <w:pPr>
        <w:pStyle w:val="0"/>
        <w:jc w:val="both"/>
      </w:pPr>
      <w:r>
        <w:rPr>
          <w:sz w:val="24"/>
        </w:rPr>
      </w:r>
    </w:p>
    <w:p>
      <w:pPr>
        <w:pStyle w:val="0"/>
        <w:ind w:firstLine="540"/>
        <w:jc w:val="both"/>
      </w:pPr>
      <w:r>
        <w:rPr>
          <w:sz w:val="24"/>
        </w:rPr>
        <w:t xml:space="preserve">В настоящих Правилах используются следующие термины и определения.</w:t>
      </w:r>
    </w:p>
    <w:p>
      <w:pPr>
        <w:pStyle w:val="0"/>
        <w:spacing w:before="240" w:lineRule="auto"/>
        <w:ind w:firstLine="540"/>
        <w:jc w:val="both"/>
      </w:pPr>
      <w:r>
        <w:rPr>
          <w:sz w:val="24"/>
        </w:rPr>
        <w:t xml:space="preserve">Временное (транзитное) хранение - хранение упаковок, грузовых контейнеров, цистерн и транспортных пакетов с РВ, ЯМ, подлежащих учету в СГУК РВ и РАО, осуществляемое на специально выделенных местах складов общего назначения и специально оборудованных складах железнодорожных станций, портов, аэропортов, грузовых автостанций.</w:t>
      </w:r>
    </w:p>
    <w:p>
      <w:pPr>
        <w:pStyle w:val="0"/>
        <w:spacing w:before="240" w:lineRule="auto"/>
        <w:ind w:firstLine="540"/>
        <w:jc w:val="both"/>
      </w:pPr>
      <w:r>
        <w:rPr>
          <w:sz w:val="24"/>
        </w:rPr>
        <w:t xml:space="preserve">Грузоотправитель - эксплуатирующая организация и (или) организация, осуществляющая деятельность по эксплуатации РИ, а также организация, осуществляющая обращение с РВ, ЯМ, подлежащими учету в СГУК РВ и РАО, которая подготавливает РВ, ЯМ, подлежащие учету в СГУК РВ и РАО (включая мобильные РИ, содержащие РВ, ЯМ, подлежащие учету в СГУК РВ и РАО), и (или) упаковки для транспортирования.</w:t>
      </w:r>
    </w:p>
    <w:p>
      <w:pPr>
        <w:pStyle w:val="0"/>
        <w:spacing w:before="240" w:lineRule="auto"/>
        <w:ind w:firstLine="540"/>
        <w:jc w:val="both"/>
      </w:pPr>
      <w:r>
        <w:rPr>
          <w:sz w:val="24"/>
        </w:rPr>
        <w:t xml:space="preserve">Грузополучатель - организация, уполномоченная на получение груза.</w:t>
      </w:r>
    </w:p>
    <w:p>
      <w:pPr>
        <w:pStyle w:val="0"/>
        <w:spacing w:before="240" w:lineRule="auto"/>
        <w:ind w:firstLine="540"/>
        <w:jc w:val="both"/>
      </w:pPr>
      <w:r>
        <w:rPr>
          <w:sz w:val="24"/>
        </w:rPr>
        <w:t xml:space="preserve">Груз - упаковка или упаковки, или партия РВ, ЯМ, подлежащих учету в СГУК РВ и РАО.</w:t>
      </w:r>
    </w:p>
    <w:p>
      <w:pPr>
        <w:pStyle w:val="0"/>
        <w:spacing w:before="240" w:lineRule="auto"/>
        <w:ind w:firstLine="540"/>
        <w:jc w:val="both"/>
      </w:pPr>
      <w:r>
        <w:rPr>
          <w:sz w:val="24"/>
        </w:rPr>
        <w:t xml:space="preserve">Диверсия - преднамеренное действие в отношении РВ, ЯМ, подлежащих учету в СГУК РВ и РАО, или перевозочных средств, перевозящих РВ, ЯМ, подлежащих учету в СГУК РВ и РАО, способное привести к аварии и создать вред здоровью и (или) угрозу жизни людей в результате воздействия радиации и (или) привести к радиоактивному загрязнению окружающей среды.</w:t>
      </w:r>
    </w:p>
    <w:p>
      <w:pPr>
        <w:pStyle w:val="0"/>
        <w:spacing w:before="240" w:lineRule="auto"/>
        <w:ind w:firstLine="540"/>
        <w:jc w:val="both"/>
      </w:pPr>
      <w:r>
        <w:rPr>
          <w:sz w:val="24"/>
        </w:rPr>
        <w:t xml:space="preserve">Инженерные и технические средства физической защиты - технически законченные устройства, применяемые в физической защите с целью обеспечения физической защиты перевозимых РВ, ЯМ, подлежащих учету в СГУК РВ и РАО, и препятствия движения нарушителя к ним.</w:t>
      </w:r>
    </w:p>
    <w:p>
      <w:pPr>
        <w:pStyle w:val="0"/>
        <w:spacing w:before="240" w:lineRule="auto"/>
        <w:ind w:firstLine="540"/>
        <w:jc w:val="both"/>
      </w:pPr>
      <w:r>
        <w:rPr>
          <w:sz w:val="24"/>
        </w:rPr>
        <w:t xml:space="preserve">Несанкционированное действие - совершение или попытка совершения диверсии, хищения РВ, ЯМ, подлежащих учету в СГУК РВ и РАО, несанкционированного доступа к грузу, вывода из строя или нарушения функционирования ИТСФЗ.</w:t>
      </w:r>
    </w:p>
    <w:p>
      <w:pPr>
        <w:pStyle w:val="0"/>
        <w:spacing w:before="240" w:lineRule="auto"/>
        <w:ind w:firstLine="540"/>
        <w:jc w:val="both"/>
      </w:pPr>
      <w:r>
        <w:rPr>
          <w:sz w:val="24"/>
        </w:rPr>
        <w:t xml:space="preserve">Пломба - пломбировочное устройство одноразового действия, обеспечивающее защиту объекта от несанкционированного доступа путем индикации вмешательства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6" w:tooltip="Приказ Ростехнадзора от 28.11.2016 N 503 &quot;Об утверждении федеральных норм и правил в области использования атомной энергии &quot;Основные правила учета и контроля радиоактивных веществ и радиоактивных отходов в организации&quot; (вместе с &quot;НП-067-16. Федеральные нормы и правила...&quot;) (Зарегистрировано в Минюсте России 21.12.2016 N 44843) ------------ Утратил силу или отменен {КонсультантПлюс}">
        <w:r>
          <w:rPr>
            <w:sz w:val="24"/>
            <w:color w:val="0000ff"/>
          </w:rPr>
          <w:t xml:space="preserve">Пункт 25</w:t>
        </w:r>
      </w:hyperlink>
      <w:r>
        <w:rPr>
          <w:sz w:val="24"/>
        </w:rPr>
        <w:t xml:space="preserve"> НП-067-16.</w:t>
      </w:r>
    </w:p>
    <w:p>
      <w:pPr>
        <w:pStyle w:val="0"/>
        <w:jc w:val="both"/>
      </w:pPr>
      <w:r>
        <w:rPr>
          <w:sz w:val="24"/>
        </w:rPr>
      </w:r>
    </w:p>
    <w:p>
      <w:pPr>
        <w:pStyle w:val="0"/>
        <w:ind w:firstLine="540"/>
        <w:jc w:val="both"/>
      </w:pPr>
      <w:r>
        <w:rPr>
          <w:sz w:val="24"/>
        </w:rPr>
        <w:t xml:space="preserve">Перевозка - перемещение с помощью перевозочного средства РВ, ЯМ, подлежащих учету в СГУК РВ и РАО, от места отправления (железнодорожной станции, порта, аэропорта) к месту получения (железнодорожной станции, порта, аэропорта).</w:t>
      </w:r>
    </w:p>
    <w:p>
      <w:pPr>
        <w:pStyle w:val="0"/>
        <w:spacing w:before="240" w:lineRule="auto"/>
        <w:ind w:firstLine="540"/>
        <w:jc w:val="both"/>
      </w:pPr>
      <w:r>
        <w:rPr>
          <w:sz w:val="24"/>
        </w:rPr>
        <w:t xml:space="preserve">Перевозочное средство - автодорожное или железнодорожное транспортное средство, судно.</w:t>
      </w:r>
    </w:p>
    <w:p>
      <w:pPr>
        <w:pStyle w:val="0"/>
        <w:spacing w:before="240" w:lineRule="auto"/>
        <w:ind w:firstLine="540"/>
        <w:jc w:val="both"/>
      </w:pPr>
      <w:r>
        <w:rPr>
          <w:sz w:val="24"/>
        </w:rPr>
        <w:t xml:space="preserve">Персонал физической защиты - лица, в том числе сопровождающие и (или) охраняющие перевозимый груз (из состава сил охраны, в случае их привлечения к операциям и условиям, которые связаны с перемещением РВ, ЯМ, подлежащих учету в СГУК РВ и РАО), в должностные обязанности которых входит выполнение функций по осуществлению физической защиты при транспортировании.</w:t>
      </w:r>
    </w:p>
    <w:p>
      <w:pPr>
        <w:pStyle w:val="0"/>
        <w:spacing w:before="240" w:lineRule="auto"/>
        <w:ind w:firstLine="540"/>
        <w:jc w:val="both"/>
      </w:pPr>
      <w:r>
        <w:rPr>
          <w:sz w:val="24"/>
        </w:rPr>
        <w:t xml:space="preserve">Радиационный объект - объект (помещение, сооружение, здание), в котором осуществляется обращение с РВ, ЯМ, подлежащими учету в СГУК РВ и РАО, либо размещается и (или) эксплуатируется РИ или пункт хранения.</w:t>
      </w:r>
    </w:p>
    <w:p>
      <w:pPr>
        <w:pStyle w:val="0"/>
        <w:spacing w:before="240" w:lineRule="auto"/>
        <w:ind w:firstLine="540"/>
        <w:jc w:val="both"/>
      </w:pPr>
      <w:r>
        <w:rPr>
          <w:sz w:val="24"/>
        </w:rPr>
        <w:t xml:space="preserve">Силы охраны - караулы (войсковые наряды, наряды охраны), назначаемые для охраны РВ, ЯМ, подлежащих учету в СГУК РВ и РАО, при их транспортировании.</w:t>
      </w:r>
    </w:p>
    <w:p>
      <w:pPr>
        <w:pStyle w:val="0"/>
        <w:spacing w:before="240" w:lineRule="auto"/>
        <w:ind w:firstLine="540"/>
        <w:jc w:val="both"/>
      </w:pPr>
      <w:r>
        <w:rPr>
          <w:sz w:val="24"/>
        </w:rPr>
        <w:t xml:space="preserve">Служба безопасности - структурное подразделение организации, ответственной за физическую защиту, предназначенное для организации и контроля за выполнением мероприятий по осуществлению физической защиты РВ, ЯМ, подлежащих учету в СГУК РВ и РАО, а также для выполнения других специальных функций.</w:t>
      </w:r>
    </w:p>
    <w:p>
      <w:pPr>
        <w:pStyle w:val="0"/>
        <w:spacing w:before="240" w:lineRule="auto"/>
        <w:ind w:firstLine="540"/>
        <w:jc w:val="both"/>
      </w:pPr>
      <w:r>
        <w:rPr>
          <w:sz w:val="24"/>
        </w:rPr>
        <w:t xml:space="preserve">Транспортирование - перемещение РВ, ЯМ, подлежащих учету в СГУК РВ и РАО, включая использование различных перевозочных средств, их перегрузку и временное (транзитное) хранение, начиная с их отправления с радиационного объекта грузоотправителя и заканчивая прибытием на радиационный объект грузополучателя или другой радиационный объект грузоотправителя, а также перемещение мобильных РИ, содержащих РВ, ЯМ, подлежащие учету в СГУК РВ и РАО, между радиационными объектами грузоотправителя и местами проведения работ и временного хранения.</w:t>
      </w:r>
    </w:p>
    <w:p>
      <w:pPr>
        <w:pStyle w:val="0"/>
        <w:spacing w:before="240" w:lineRule="auto"/>
        <w:ind w:firstLine="540"/>
        <w:jc w:val="both"/>
      </w:pPr>
      <w:r>
        <w:rPr>
          <w:sz w:val="24"/>
        </w:rPr>
        <w:t xml:space="preserve">Транспортное средство сопровождения - не перевозящий груз автомобиль с персоналом физической защиты, используемый в целях сопровождения.</w:t>
      </w:r>
    </w:p>
    <w:p>
      <w:pPr>
        <w:pStyle w:val="0"/>
        <w:spacing w:before="240" w:lineRule="auto"/>
        <w:ind w:firstLine="540"/>
        <w:jc w:val="both"/>
      </w:pPr>
      <w:r>
        <w:rPr>
          <w:sz w:val="24"/>
        </w:rPr>
        <w:t xml:space="preserve">Уровень физической защиты - параметр, определяющий совокупность требований, предъявляемых к составу организационных мероприятий, ИТСФЗ и персоналу физической защиты организации.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230" w:name="P230"/>
    <w:bookmarkEnd w:id="230"/>
    <w:p>
      <w:pPr>
        <w:pStyle w:val="0"/>
        <w:outlineLvl w:val="1"/>
        <w:jc w:val="right"/>
      </w:pPr>
      <w:r>
        <w:rPr>
          <w:sz w:val="24"/>
        </w:rPr>
        <w:t xml:space="preserve">Приложение N 3</w:t>
      </w:r>
    </w:p>
    <w:p>
      <w:pPr>
        <w:pStyle w:val="0"/>
        <w:jc w:val="right"/>
      </w:pPr>
      <w:r>
        <w:rPr>
          <w:sz w:val="24"/>
        </w:rPr>
        <w:t xml:space="preserve">к федеральным нормам и правилам в области</w:t>
      </w:r>
    </w:p>
    <w:p>
      <w:pPr>
        <w:pStyle w:val="0"/>
        <w:jc w:val="right"/>
      </w:pPr>
      <w:r>
        <w:rPr>
          <w:sz w:val="24"/>
        </w:rPr>
        <w:t xml:space="preserve">использования атомной энергии "Правила</w:t>
      </w:r>
    </w:p>
    <w:p>
      <w:pPr>
        <w:pStyle w:val="0"/>
        <w:jc w:val="right"/>
      </w:pPr>
      <w:r>
        <w:rPr>
          <w:sz w:val="24"/>
        </w:rPr>
        <w:t xml:space="preserve">физической защиты радиоактивных веществ</w:t>
      </w:r>
    </w:p>
    <w:p>
      <w:pPr>
        <w:pStyle w:val="0"/>
        <w:jc w:val="right"/>
      </w:pPr>
      <w:r>
        <w:rPr>
          <w:sz w:val="24"/>
        </w:rPr>
        <w:t xml:space="preserve">и отдельных ядерных материалов</w:t>
      </w:r>
    </w:p>
    <w:p>
      <w:pPr>
        <w:pStyle w:val="0"/>
        <w:jc w:val="right"/>
      </w:pPr>
      <w:r>
        <w:rPr>
          <w:sz w:val="24"/>
        </w:rPr>
        <w:t xml:space="preserve">при их транспортировании", утвержденным</w:t>
      </w:r>
    </w:p>
    <w:p>
      <w:pPr>
        <w:pStyle w:val="0"/>
        <w:jc w:val="right"/>
      </w:pPr>
      <w:r>
        <w:rPr>
          <w:sz w:val="24"/>
        </w:rPr>
        <w:t xml:space="preserve">приказом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23 ноября 2023 г. N 416</w:t>
      </w:r>
    </w:p>
    <w:p>
      <w:pPr>
        <w:pStyle w:val="0"/>
        <w:jc w:val="both"/>
      </w:pPr>
      <w:r>
        <w:rPr>
          <w:sz w:val="24"/>
        </w:rPr>
      </w:r>
    </w:p>
    <w:p>
      <w:pPr>
        <w:pStyle w:val="2"/>
        <w:outlineLvl w:val="2"/>
        <w:jc w:val="center"/>
      </w:pPr>
      <w:r>
        <w:rPr>
          <w:sz w:val="24"/>
        </w:rPr>
        <w:t xml:space="preserve">Уровни</w:t>
      </w:r>
    </w:p>
    <w:p>
      <w:pPr>
        <w:pStyle w:val="2"/>
        <w:jc w:val="center"/>
      </w:pPr>
      <w:r>
        <w:rPr>
          <w:sz w:val="24"/>
        </w:rPr>
        <w:t xml:space="preserve">физической защиты грузов различного вида</w:t>
      </w:r>
    </w:p>
    <w:p>
      <w:pPr>
        <w:pStyle w:val="2"/>
        <w:jc w:val="center"/>
      </w:pPr>
      <w:r>
        <w:rPr>
          <w:sz w:val="24"/>
        </w:rPr>
        <w:t xml:space="preserve">при их раздельном транспортировании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4"/>
        <w:gridCol w:w="2539"/>
        <w:gridCol w:w="2551"/>
      </w:tblGrid>
      <w:tr>
        <w:tc>
          <w:tcPr>
            <w:tcW w:w="3974" w:type="dxa"/>
          </w:tcPr>
          <w:p>
            <w:pPr>
              <w:pStyle w:val="0"/>
              <w:jc w:val="center"/>
            </w:pPr>
            <w:r>
              <w:rPr>
                <w:sz w:val="24"/>
              </w:rPr>
              <w:t xml:space="preserve">Вид груза</w:t>
            </w:r>
          </w:p>
        </w:tc>
        <w:tc>
          <w:tcPr>
            <w:tcW w:w="2539" w:type="dxa"/>
          </w:tcPr>
          <w:p>
            <w:pPr>
              <w:pStyle w:val="0"/>
              <w:jc w:val="center"/>
            </w:pPr>
            <w:r>
              <w:rPr>
                <w:sz w:val="24"/>
              </w:rPr>
              <w:t xml:space="preserve">Показатель активности груза</w:t>
            </w:r>
          </w:p>
        </w:tc>
        <w:tc>
          <w:tcPr>
            <w:tcW w:w="2551" w:type="dxa"/>
          </w:tcPr>
          <w:p>
            <w:pPr>
              <w:pStyle w:val="0"/>
              <w:jc w:val="center"/>
            </w:pPr>
            <w:r>
              <w:rPr>
                <w:sz w:val="24"/>
              </w:rPr>
              <w:t xml:space="preserve">Уровень физической защиты</w:t>
            </w:r>
          </w:p>
        </w:tc>
      </w:tr>
      <w:tr>
        <w:tc>
          <w:tcPr>
            <w:tcW w:w="3974" w:type="dxa"/>
            <w:vAlign w:val="center"/>
            <w:vMerge w:val="restart"/>
          </w:tcPr>
          <w:p>
            <w:pPr>
              <w:pStyle w:val="0"/>
              <w:jc w:val="center"/>
            </w:pPr>
            <w:r>
              <w:rPr>
                <w:sz w:val="24"/>
              </w:rPr>
              <w:t xml:space="preserve">Груз, содержащий в своем составе только ЗРИ</w:t>
            </w:r>
          </w:p>
        </w:tc>
        <w:tc>
          <w:tcPr>
            <w:tcW w:w="2539" w:type="dxa"/>
          </w:tcPr>
          <w:p>
            <w:pPr>
              <w:pStyle w:val="0"/>
              <w:jc w:val="center"/>
            </w:pPr>
            <w:r>
              <w:rPr>
                <w:sz w:val="24"/>
              </w:rPr>
              <w:t xml:space="preserve">A/D &gt;= 1 000</w:t>
            </w:r>
          </w:p>
        </w:tc>
        <w:tc>
          <w:tcPr>
            <w:tcW w:w="2551" w:type="dxa"/>
          </w:tcPr>
          <w:p>
            <w:pPr>
              <w:pStyle w:val="0"/>
              <w:jc w:val="center"/>
            </w:pPr>
            <w:r>
              <w:rPr>
                <w:sz w:val="24"/>
              </w:rPr>
              <w:t xml:space="preserve">А</w:t>
            </w:r>
          </w:p>
        </w:tc>
      </w:tr>
      <w:tr>
        <w:tc>
          <w:tcPr>
            <w:vMerge w:val="continue"/>
          </w:tcPr>
          <w:p/>
        </w:tc>
        <w:tc>
          <w:tcPr>
            <w:tcW w:w="2539" w:type="dxa"/>
          </w:tcPr>
          <w:p>
            <w:pPr>
              <w:pStyle w:val="0"/>
              <w:jc w:val="center"/>
            </w:pPr>
            <w:r>
              <w:rPr>
                <w:sz w:val="24"/>
              </w:rPr>
              <w:t xml:space="preserve">10 &lt;= A/D &lt; 1 000</w:t>
            </w:r>
          </w:p>
        </w:tc>
        <w:tc>
          <w:tcPr>
            <w:tcW w:w="2551" w:type="dxa"/>
          </w:tcPr>
          <w:p>
            <w:pPr>
              <w:pStyle w:val="0"/>
              <w:jc w:val="center"/>
            </w:pPr>
            <w:r>
              <w:rPr>
                <w:sz w:val="24"/>
              </w:rPr>
              <w:t xml:space="preserve">Б</w:t>
            </w:r>
          </w:p>
        </w:tc>
      </w:tr>
      <w:tr>
        <w:tc>
          <w:tcPr>
            <w:vMerge w:val="continue"/>
          </w:tcPr>
          <w:p/>
        </w:tc>
        <w:tc>
          <w:tcPr>
            <w:tcW w:w="2539" w:type="dxa"/>
          </w:tcPr>
          <w:p>
            <w:pPr>
              <w:pStyle w:val="0"/>
              <w:jc w:val="center"/>
            </w:pPr>
            <w:r>
              <w:rPr>
                <w:sz w:val="24"/>
              </w:rPr>
              <w:t xml:space="preserve">1 &lt;= A/D &lt; 10</w:t>
            </w:r>
          </w:p>
        </w:tc>
        <w:tc>
          <w:tcPr>
            <w:tcW w:w="2551" w:type="dxa"/>
          </w:tcPr>
          <w:p>
            <w:pPr>
              <w:pStyle w:val="0"/>
              <w:jc w:val="center"/>
            </w:pPr>
            <w:r>
              <w:rPr>
                <w:sz w:val="24"/>
              </w:rPr>
              <w:t xml:space="preserve">В</w:t>
            </w:r>
          </w:p>
        </w:tc>
      </w:tr>
      <w:tr>
        <w:tc>
          <w:tcPr>
            <w:vMerge w:val="continue"/>
          </w:tcPr>
          <w:p/>
        </w:tc>
        <w:tc>
          <w:tcPr>
            <w:tcW w:w="2539" w:type="dxa"/>
          </w:tcPr>
          <w:p>
            <w:pPr>
              <w:pStyle w:val="0"/>
              <w:jc w:val="center"/>
            </w:pPr>
            <w:r>
              <w:rPr>
                <w:sz w:val="24"/>
              </w:rPr>
              <w:t xml:space="preserve">A/D &lt; 1</w:t>
            </w:r>
          </w:p>
        </w:tc>
        <w:tc>
          <w:tcPr>
            <w:tcW w:w="2551" w:type="dxa"/>
          </w:tcPr>
          <w:p>
            <w:pPr>
              <w:pStyle w:val="0"/>
              <w:jc w:val="center"/>
            </w:pPr>
            <w:r>
              <w:rPr>
                <w:sz w:val="24"/>
              </w:rPr>
              <w:t xml:space="preserve">Г</w:t>
            </w:r>
          </w:p>
        </w:tc>
      </w:tr>
      <w:tr>
        <w:tc>
          <w:tcPr>
            <w:tcW w:w="3974" w:type="dxa"/>
            <w:vAlign w:val="center"/>
            <w:vMerge w:val="restart"/>
          </w:tcPr>
          <w:p>
            <w:pPr>
              <w:pStyle w:val="0"/>
              <w:jc w:val="center"/>
            </w:pPr>
            <w:r>
              <w:rPr>
                <w:sz w:val="24"/>
              </w:rPr>
              <w:t xml:space="preserve">Груз, содержащий в своем составе РВ, ЯМ, подлежащие учету в СГУК РВ и РАО</w:t>
            </w:r>
          </w:p>
        </w:tc>
        <w:tc>
          <w:tcPr>
            <w:tcW w:w="2539" w:type="dxa"/>
          </w:tcPr>
          <w:p>
            <w:pPr>
              <w:pStyle w:val="0"/>
              <w:jc w:val="center"/>
            </w:pPr>
            <w:r>
              <w:rPr>
                <w:sz w:val="24"/>
              </w:rPr>
              <w:t xml:space="preserve">А/А</w:t>
            </w:r>
            <w:r>
              <w:rPr>
                <w:sz w:val="24"/>
                <w:vertAlign w:val="subscript"/>
              </w:rPr>
              <w:t xml:space="preserve">2</w:t>
            </w:r>
            <w:r>
              <w:rPr>
                <w:sz w:val="24"/>
              </w:rPr>
              <w:t xml:space="preserve"> &gt;= 20</w:t>
            </w:r>
          </w:p>
        </w:tc>
        <w:tc>
          <w:tcPr>
            <w:tcW w:w="2551" w:type="dxa"/>
          </w:tcPr>
          <w:p>
            <w:pPr>
              <w:pStyle w:val="0"/>
              <w:jc w:val="center"/>
            </w:pPr>
            <w:r>
              <w:rPr>
                <w:sz w:val="24"/>
              </w:rPr>
              <w:t xml:space="preserve">А</w:t>
            </w:r>
          </w:p>
        </w:tc>
      </w:tr>
      <w:tr>
        <w:tc>
          <w:tcPr>
            <w:vMerge w:val="continue"/>
          </w:tcPr>
          <w:p/>
        </w:tc>
        <w:tc>
          <w:tcPr>
            <w:tcW w:w="2539" w:type="dxa"/>
          </w:tcPr>
          <w:p>
            <w:pPr>
              <w:pStyle w:val="0"/>
              <w:jc w:val="center"/>
            </w:pPr>
            <w:r>
              <w:rPr>
                <w:sz w:val="24"/>
              </w:rPr>
              <w:t xml:space="preserve">2 &lt;= А/А</w:t>
            </w:r>
            <w:r>
              <w:rPr>
                <w:sz w:val="24"/>
                <w:vertAlign w:val="subscript"/>
              </w:rPr>
              <w:t xml:space="preserve">2</w:t>
            </w:r>
            <w:r>
              <w:rPr>
                <w:sz w:val="24"/>
              </w:rPr>
              <w:t xml:space="preserve"> &lt; 20</w:t>
            </w:r>
          </w:p>
        </w:tc>
        <w:tc>
          <w:tcPr>
            <w:tcW w:w="2551" w:type="dxa"/>
          </w:tcPr>
          <w:p>
            <w:pPr>
              <w:pStyle w:val="0"/>
              <w:jc w:val="center"/>
            </w:pPr>
            <w:r>
              <w:rPr>
                <w:sz w:val="24"/>
              </w:rPr>
              <w:t xml:space="preserve">Б</w:t>
            </w:r>
          </w:p>
        </w:tc>
      </w:tr>
      <w:tr>
        <w:tc>
          <w:tcPr>
            <w:vMerge w:val="continue"/>
          </w:tcPr>
          <w:p/>
        </w:tc>
        <w:tc>
          <w:tcPr>
            <w:tcW w:w="2539" w:type="dxa"/>
          </w:tcPr>
          <w:p>
            <w:pPr>
              <w:pStyle w:val="0"/>
              <w:jc w:val="center"/>
            </w:pPr>
            <w:r>
              <w:rPr>
                <w:sz w:val="24"/>
              </w:rPr>
              <w:t xml:space="preserve">0,02 &lt;= А/А</w:t>
            </w:r>
            <w:r>
              <w:rPr>
                <w:sz w:val="24"/>
                <w:vertAlign w:val="subscript"/>
              </w:rPr>
              <w:t xml:space="preserve">2</w:t>
            </w:r>
            <w:r>
              <w:rPr>
                <w:sz w:val="24"/>
              </w:rPr>
              <w:t xml:space="preserve"> &lt; 2</w:t>
            </w:r>
          </w:p>
        </w:tc>
        <w:tc>
          <w:tcPr>
            <w:tcW w:w="2551" w:type="dxa"/>
          </w:tcPr>
          <w:p>
            <w:pPr>
              <w:pStyle w:val="0"/>
              <w:jc w:val="center"/>
            </w:pPr>
            <w:r>
              <w:rPr>
                <w:sz w:val="24"/>
              </w:rPr>
              <w:t xml:space="preserve">В</w:t>
            </w:r>
          </w:p>
        </w:tc>
      </w:tr>
      <w:tr>
        <w:tc>
          <w:tcPr>
            <w:vMerge w:val="continue"/>
          </w:tcPr>
          <w:p/>
        </w:tc>
        <w:tc>
          <w:tcPr>
            <w:tcW w:w="2539" w:type="dxa"/>
          </w:tcPr>
          <w:p>
            <w:pPr>
              <w:pStyle w:val="0"/>
              <w:jc w:val="center"/>
            </w:pPr>
            <w:r>
              <w:rPr>
                <w:sz w:val="24"/>
              </w:rPr>
              <w:t xml:space="preserve">А/А</w:t>
            </w:r>
            <w:r>
              <w:rPr>
                <w:sz w:val="24"/>
                <w:vertAlign w:val="subscript"/>
              </w:rPr>
              <w:t xml:space="preserve">2</w:t>
            </w:r>
            <w:r>
              <w:rPr>
                <w:sz w:val="24"/>
              </w:rPr>
              <w:t xml:space="preserve"> &lt; 0,02</w:t>
            </w:r>
          </w:p>
        </w:tc>
        <w:tc>
          <w:tcPr>
            <w:tcW w:w="2551" w:type="dxa"/>
          </w:tcPr>
          <w:p>
            <w:pPr>
              <w:pStyle w:val="0"/>
              <w:jc w:val="center"/>
            </w:pPr>
            <w:r>
              <w:rPr>
                <w:sz w:val="24"/>
              </w:rPr>
              <w:t xml:space="preserve">Г</w:t>
            </w:r>
          </w:p>
        </w:tc>
      </w:tr>
    </w:tbl>
    <w:p>
      <w:pPr>
        <w:pStyle w:val="0"/>
        <w:jc w:val="both"/>
      </w:pPr>
      <w:r>
        <w:rPr>
          <w:sz w:val="24"/>
        </w:rPr>
      </w:r>
    </w:p>
    <w:p>
      <w:pPr>
        <w:pStyle w:val="2"/>
        <w:outlineLvl w:val="2"/>
        <w:jc w:val="center"/>
      </w:pPr>
      <w:r>
        <w:rPr>
          <w:sz w:val="24"/>
        </w:rPr>
        <w:t xml:space="preserve">Уровни</w:t>
      </w:r>
    </w:p>
    <w:p>
      <w:pPr>
        <w:pStyle w:val="2"/>
        <w:jc w:val="center"/>
      </w:pPr>
      <w:r>
        <w:rPr>
          <w:sz w:val="24"/>
        </w:rPr>
        <w:t xml:space="preserve">физической защиты грузов различного вида</w:t>
      </w:r>
    </w:p>
    <w:p>
      <w:pPr>
        <w:pStyle w:val="2"/>
        <w:jc w:val="center"/>
      </w:pPr>
      <w:r>
        <w:rPr>
          <w:sz w:val="24"/>
        </w:rPr>
        <w:t xml:space="preserve">при их совместном транспортировании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85"/>
        <w:gridCol w:w="1247"/>
        <w:gridCol w:w="1304"/>
        <w:gridCol w:w="1361"/>
        <w:gridCol w:w="1440"/>
      </w:tblGrid>
      <w:tr>
        <w:tc>
          <w:tcPr>
            <w:tcW w:w="3685" w:type="dxa"/>
            <w:vMerge w:val="restart"/>
          </w:tcPr>
          <w:p>
            <w:pPr>
              <w:pStyle w:val="0"/>
              <w:jc w:val="center"/>
            </w:pPr>
            <w:r>
              <w:rPr>
                <w:sz w:val="24"/>
              </w:rPr>
              <w:t xml:space="preserve">Уровень физической защиты груза, содержащего в своем составе только ЗРИ</w:t>
            </w:r>
          </w:p>
        </w:tc>
        <w:tc>
          <w:tcPr>
            <w:gridSpan w:val="4"/>
            <w:tcW w:w="5352" w:type="dxa"/>
          </w:tcPr>
          <w:p>
            <w:pPr>
              <w:pStyle w:val="0"/>
              <w:jc w:val="center"/>
            </w:pPr>
            <w:r>
              <w:rPr>
                <w:sz w:val="24"/>
              </w:rPr>
              <w:t xml:space="preserve">Уровень физической защиты груза, содержащего в своем составе РВ и (или) ЯМ, подлежащие учету в СГУК РВ и РАО</w:t>
            </w:r>
          </w:p>
        </w:tc>
      </w:tr>
      <w:tr>
        <w:tc>
          <w:tcPr>
            <w:vMerge w:val="continue"/>
          </w:tcPr>
          <w:p/>
        </w:tc>
        <w:tc>
          <w:tcPr>
            <w:tcW w:w="1247" w:type="dxa"/>
          </w:tcPr>
          <w:p>
            <w:pPr>
              <w:pStyle w:val="0"/>
              <w:jc w:val="center"/>
            </w:pPr>
            <w:r>
              <w:rPr>
                <w:sz w:val="24"/>
              </w:rPr>
              <w:t xml:space="preserve">А</w:t>
            </w:r>
          </w:p>
        </w:tc>
        <w:tc>
          <w:tcPr>
            <w:tcW w:w="1304" w:type="dxa"/>
          </w:tcPr>
          <w:p>
            <w:pPr>
              <w:pStyle w:val="0"/>
              <w:jc w:val="center"/>
            </w:pPr>
            <w:r>
              <w:rPr>
                <w:sz w:val="24"/>
              </w:rPr>
              <w:t xml:space="preserve">Б</w:t>
            </w:r>
          </w:p>
        </w:tc>
        <w:tc>
          <w:tcPr>
            <w:tcW w:w="1361" w:type="dxa"/>
          </w:tcPr>
          <w:p>
            <w:pPr>
              <w:pStyle w:val="0"/>
              <w:jc w:val="center"/>
            </w:pPr>
            <w:r>
              <w:rPr>
                <w:sz w:val="24"/>
              </w:rPr>
              <w:t xml:space="preserve">В</w:t>
            </w:r>
          </w:p>
        </w:tc>
        <w:tc>
          <w:tcPr>
            <w:tcW w:w="1440" w:type="dxa"/>
          </w:tcPr>
          <w:p>
            <w:pPr>
              <w:pStyle w:val="0"/>
              <w:jc w:val="center"/>
            </w:pPr>
            <w:r>
              <w:rPr>
                <w:sz w:val="24"/>
              </w:rPr>
              <w:t xml:space="preserve">Г</w:t>
            </w:r>
          </w:p>
        </w:tc>
      </w:tr>
      <w:tr>
        <w:tc>
          <w:tcPr>
            <w:tcW w:w="3685" w:type="dxa"/>
          </w:tcPr>
          <w:p>
            <w:pPr>
              <w:pStyle w:val="0"/>
              <w:jc w:val="center"/>
            </w:pPr>
            <w:r>
              <w:rPr>
                <w:sz w:val="24"/>
              </w:rPr>
              <w:t xml:space="preserve">А</w:t>
            </w:r>
          </w:p>
        </w:tc>
        <w:tc>
          <w:tcPr>
            <w:tcW w:w="1247" w:type="dxa"/>
          </w:tcPr>
          <w:p>
            <w:pPr>
              <w:pStyle w:val="0"/>
              <w:jc w:val="center"/>
            </w:pPr>
            <w:r>
              <w:rPr>
                <w:sz w:val="24"/>
              </w:rPr>
              <w:t xml:space="preserve">А</w:t>
            </w:r>
          </w:p>
        </w:tc>
        <w:tc>
          <w:tcPr>
            <w:tcW w:w="1304" w:type="dxa"/>
          </w:tcPr>
          <w:p>
            <w:pPr>
              <w:pStyle w:val="0"/>
              <w:jc w:val="center"/>
            </w:pPr>
            <w:r>
              <w:rPr>
                <w:sz w:val="24"/>
              </w:rPr>
              <w:t xml:space="preserve">А</w:t>
            </w:r>
          </w:p>
        </w:tc>
        <w:tc>
          <w:tcPr>
            <w:tcW w:w="1361" w:type="dxa"/>
          </w:tcPr>
          <w:p>
            <w:pPr>
              <w:pStyle w:val="0"/>
              <w:jc w:val="center"/>
            </w:pPr>
            <w:r>
              <w:rPr>
                <w:sz w:val="24"/>
              </w:rPr>
              <w:t xml:space="preserve">А</w:t>
            </w:r>
          </w:p>
        </w:tc>
        <w:tc>
          <w:tcPr>
            <w:tcW w:w="1440" w:type="dxa"/>
          </w:tcPr>
          <w:p>
            <w:pPr>
              <w:pStyle w:val="0"/>
              <w:jc w:val="center"/>
            </w:pPr>
            <w:r>
              <w:rPr>
                <w:sz w:val="24"/>
              </w:rPr>
              <w:t xml:space="preserve">А</w:t>
            </w:r>
          </w:p>
        </w:tc>
      </w:tr>
      <w:tr>
        <w:tc>
          <w:tcPr>
            <w:tcW w:w="3685" w:type="dxa"/>
          </w:tcPr>
          <w:p>
            <w:pPr>
              <w:pStyle w:val="0"/>
              <w:jc w:val="center"/>
            </w:pPr>
            <w:r>
              <w:rPr>
                <w:sz w:val="24"/>
              </w:rPr>
              <w:t xml:space="preserve">Б</w:t>
            </w:r>
          </w:p>
        </w:tc>
        <w:tc>
          <w:tcPr>
            <w:tcW w:w="1247" w:type="dxa"/>
          </w:tcPr>
          <w:p>
            <w:pPr>
              <w:pStyle w:val="0"/>
              <w:jc w:val="center"/>
            </w:pPr>
            <w:r>
              <w:rPr>
                <w:sz w:val="24"/>
              </w:rPr>
              <w:t xml:space="preserve">А</w:t>
            </w:r>
          </w:p>
        </w:tc>
        <w:tc>
          <w:tcPr>
            <w:tcW w:w="1304" w:type="dxa"/>
          </w:tcPr>
          <w:p>
            <w:pPr>
              <w:pStyle w:val="0"/>
              <w:jc w:val="center"/>
            </w:pPr>
            <w:r>
              <w:rPr>
                <w:sz w:val="24"/>
              </w:rPr>
              <w:t xml:space="preserve">Б</w:t>
            </w:r>
          </w:p>
        </w:tc>
        <w:tc>
          <w:tcPr>
            <w:tcW w:w="1361" w:type="dxa"/>
          </w:tcPr>
          <w:p>
            <w:pPr>
              <w:pStyle w:val="0"/>
              <w:jc w:val="center"/>
            </w:pPr>
            <w:r>
              <w:rPr>
                <w:sz w:val="24"/>
              </w:rPr>
              <w:t xml:space="preserve">Б</w:t>
            </w:r>
          </w:p>
        </w:tc>
        <w:tc>
          <w:tcPr>
            <w:tcW w:w="1440" w:type="dxa"/>
          </w:tcPr>
          <w:p>
            <w:pPr>
              <w:pStyle w:val="0"/>
              <w:jc w:val="center"/>
            </w:pPr>
            <w:r>
              <w:rPr>
                <w:sz w:val="24"/>
              </w:rPr>
              <w:t xml:space="preserve">Б</w:t>
            </w:r>
          </w:p>
        </w:tc>
      </w:tr>
      <w:tr>
        <w:tc>
          <w:tcPr>
            <w:tcW w:w="3685" w:type="dxa"/>
          </w:tcPr>
          <w:p>
            <w:pPr>
              <w:pStyle w:val="0"/>
              <w:jc w:val="center"/>
            </w:pPr>
            <w:r>
              <w:rPr>
                <w:sz w:val="24"/>
              </w:rPr>
              <w:t xml:space="preserve">В</w:t>
            </w:r>
          </w:p>
        </w:tc>
        <w:tc>
          <w:tcPr>
            <w:tcW w:w="1247" w:type="dxa"/>
          </w:tcPr>
          <w:p>
            <w:pPr>
              <w:pStyle w:val="0"/>
              <w:jc w:val="center"/>
            </w:pPr>
            <w:r>
              <w:rPr>
                <w:sz w:val="24"/>
              </w:rPr>
              <w:t xml:space="preserve">А</w:t>
            </w:r>
          </w:p>
        </w:tc>
        <w:tc>
          <w:tcPr>
            <w:tcW w:w="1304" w:type="dxa"/>
          </w:tcPr>
          <w:p>
            <w:pPr>
              <w:pStyle w:val="0"/>
              <w:jc w:val="center"/>
            </w:pPr>
            <w:r>
              <w:rPr>
                <w:sz w:val="24"/>
              </w:rPr>
              <w:t xml:space="preserve">Б</w:t>
            </w:r>
          </w:p>
        </w:tc>
        <w:tc>
          <w:tcPr>
            <w:tcW w:w="1361" w:type="dxa"/>
          </w:tcPr>
          <w:p>
            <w:pPr>
              <w:pStyle w:val="0"/>
              <w:jc w:val="center"/>
            </w:pPr>
            <w:r>
              <w:rPr>
                <w:sz w:val="24"/>
              </w:rPr>
              <w:t xml:space="preserve">В</w:t>
            </w:r>
          </w:p>
        </w:tc>
        <w:tc>
          <w:tcPr>
            <w:tcW w:w="1440" w:type="dxa"/>
          </w:tcPr>
          <w:p>
            <w:pPr>
              <w:pStyle w:val="0"/>
              <w:jc w:val="center"/>
            </w:pPr>
            <w:r>
              <w:rPr>
                <w:sz w:val="24"/>
              </w:rPr>
              <w:t xml:space="preserve">В</w:t>
            </w:r>
          </w:p>
        </w:tc>
      </w:tr>
      <w:tr>
        <w:tc>
          <w:tcPr>
            <w:tcW w:w="3685" w:type="dxa"/>
          </w:tcPr>
          <w:p>
            <w:pPr>
              <w:pStyle w:val="0"/>
              <w:jc w:val="center"/>
            </w:pPr>
            <w:r>
              <w:rPr>
                <w:sz w:val="24"/>
              </w:rPr>
              <w:t xml:space="preserve">Г</w:t>
            </w:r>
          </w:p>
        </w:tc>
        <w:tc>
          <w:tcPr>
            <w:tcW w:w="1247" w:type="dxa"/>
          </w:tcPr>
          <w:p>
            <w:pPr>
              <w:pStyle w:val="0"/>
              <w:jc w:val="center"/>
            </w:pPr>
            <w:r>
              <w:rPr>
                <w:sz w:val="24"/>
              </w:rPr>
              <w:t xml:space="preserve">А</w:t>
            </w:r>
          </w:p>
        </w:tc>
        <w:tc>
          <w:tcPr>
            <w:tcW w:w="1304" w:type="dxa"/>
          </w:tcPr>
          <w:p>
            <w:pPr>
              <w:pStyle w:val="0"/>
              <w:jc w:val="center"/>
            </w:pPr>
            <w:r>
              <w:rPr>
                <w:sz w:val="24"/>
              </w:rPr>
              <w:t xml:space="preserve">Б</w:t>
            </w:r>
          </w:p>
        </w:tc>
        <w:tc>
          <w:tcPr>
            <w:tcW w:w="1361" w:type="dxa"/>
          </w:tcPr>
          <w:p>
            <w:pPr>
              <w:pStyle w:val="0"/>
              <w:jc w:val="center"/>
            </w:pPr>
            <w:r>
              <w:rPr>
                <w:sz w:val="24"/>
              </w:rPr>
              <w:t xml:space="preserve">В</w:t>
            </w:r>
          </w:p>
        </w:tc>
        <w:tc>
          <w:tcPr>
            <w:tcW w:w="1440" w:type="dxa"/>
          </w:tcPr>
          <w:p>
            <w:pPr>
              <w:pStyle w:val="0"/>
              <w:jc w:val="center"/>
            </w:pPr>
            <w:r>
              <w:rPr>
                <w:sz w:val="24"/>
              </w:rPr>
              <w:t xml:space="preserve">Г</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федеральным нормам и правилам в области</w:t>
      </w:r>
    </w:p>
    <w:p>
      <w:pPr>
        <w:pStyle w:val="0"/>
        <w:jc w:val="right"/>
      </w:pPr>
      <w:r>
        <w:rPr>
          <w:sz w:val="24"/>
        </w:rPr>
        <w:t xml:space="preserve">использования атомной энергии "Правила</w:t>
      </w:r>
    </w:p>
    <w:p>
      <w:pPr>
        <w:pStyle w:val="0"/>
        <w:jc w:val="right"/>
      </w:pPr>
      <w:r>
        <w:rPr>
          <w:sz w:val="24"/>
        </w:rPr>
        <w:t xml:space="preserve">физической защиты радиоактивных веществ</w:t>
      </w:r>
    </w:p>
    <w:p>
      <w:pPr>
        <w:pStyle w:val="0"/>
        <w:jc w:val="right"/>
      </w:pPr>
      <w:r>
        <w:rPr>
          <w:sz w:val="24"/>
        </w:rPr>
        <w:t xml:space="preserve">и отдельных ядерных материалов</w:t>
      </w:r>
    </w:p>
    <w:p>
      <w:pPr>
        <w:pStyle w:val="0"/>
        <w:jc w:val="right"/>
      </w:pPr>
      <w:r>
        <w:rPr>
          <w:sz w:val="24"/>
        </w:rPr>
        <w:t xml:space="preserve">при их транспортировании", утвержденным</w:t>
      </w:r>
    </w:p>
    <w:p>
      <w:pPr>
        <w:pStyle w:val="0"/>
        <w:jc w:val="right"/>
      </w:pPr>
      <w:r>
        <w:rPr>
          <w:sz w:val="24"/>
        </w:rPr>
        <w:t xml:space="preserve">приказом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23 ноября 2023 г. N 416</w:t>
      </w:r>
    </w:p>
    <w:p>
      <w:pPr>
        <w:pStyle w:val="0"/>
        <w:jc w:val="both"/>
      </w:pPr>
      <w:r>
        <w:rPr>
          <w:sz w:val="24"/>
        </w:rPr>
      </w:r>
    </w:p>
    <w:bookmarkStart w:id="313" w:name="P313"/>
    <w:bookmarkEnd w:id="313"/>
    <w:p>
      <w:pPr>
        <w:pStyle w:val="2"/>
        <w:jc w:val="center"/>
      </w:pPr>
      <w:r>
        <w:rPr>
          <w:sz w:val="24"/>
        </w:rPr>
        <w:t xml:space="preserve">ДОКУМЕНТЫ</w:t>
      </w:r>
    </w:p>
    <w:p>
      <w:pPr>
        <w:pStyle w:val="2"/>
        <w:jc w:val="center"/>
      </w:pPr>
      <w:r>
        <w:rPr>
          <w:sz w:val="24"/>
        </w:rPr>
        <w:t xml:space="preserve">ПО ФИЗИЧЕСКОЙ ЗАЩИТЕ, ПОДЛЕЖАЩИЕ УТВЕРЖДЕНИЮ И ВВЕДЕНИЮ</w:t>
      </w:r>
    </w:p>
    <w:p>
      <w:pPr>
        <w:pStyle w:val="2"/>
        <w:jc w:val="center"/>
      </w:pPr>
      <w:r>
        <w:rPr>
          <w:sz w:val="24"/>
        </w:rPr>
        <w:t xml:space="preserve">В ДЕЙСТВИЕ В ОРГАНИЗАЦИИ, ОТВЕТСТВЕННОЙ ЗА ФИЗИЧЕСКУЮ ЗАЩИТУ</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9"/>
        <w:gridCol w:w="5669"/>
        <w:gridCol w:w="794"/>
        <w:gridCol w:w="680"/>
        <w:gridCol w:w="680"/>
        <w:gridCol w:w="624"/>
      </w:tblGrid>
      <w:tr>
        <w:tc>
          <w:tcPr>
            <w:tcW w:w="619" w:type="dxa"/>
            <w:vMerge w:val="restart"/>
          </w:tcPr>
          <w:p>
            <w:pPr>
              <w:pStyle w:val="0"/>
              <w:jc w:val="center"/>
            </w:pPr>
            <w:r>
              <w:rPr>
                <w:sz w:val="24"/>
              </w:rPr>
              <w:t xml:space="preserve">N п/п</w:t>
            </w:r>
          </w:p>
        </w:tc>
        <w:tc>
          <w:tcPr>
            <w:tcW w:w="5669" w:type="dxa"/>
            <w:vMerge w:val="restart"/>
          </w:tcPr>
          <w:p>
            <w:pPr>
              <w:pStyle w:val="0"/>
              <w:jc w:val="center"/>
            </w:pPr>
            <w:r>
              <w:rPr>
                <w:sz w:val="24"/>
              </w:rPr>
              <w:t xml:space="preserve">Наименование документа</w:t>
            </w:r>
          </w:p>
        </w:tc>
        <w:tc>
          <w:tcPr>
            <w:gridSpan w:val="4"/>
            <w:tcW w:w="2778" w:type="dxa"/>
          </w:tcPr>
          <w:p>
            <w:pPr>
              <w:pStyle w:val="0"/>
              <w:jc w:val="center"/>
            </w:pPr>
            <w:r>
              <w:rPr>
                <w:sz w:val="24"/>
              </w:rPr>
              <w:t xml:space="preserve">Уровень физической защиты</w:t>
            </w:r>
          </w:p>
        </w:tc>
      </w:tr>
      <w:tr>
        <w:tc>
          <w:tcPr>
            <w:vMerge w:val="continue"/>
          </w:tcPr>
          <w:p/>
        </w:tc>
        <w:tc>
          <w:tcPr>
            <w:vMerge w:val="continue"/>
          </w:tcPr>
          <w:p/>
        </w:tc>
        <w:tc>
          <w:tcPr>
            <w:tcW w:w="794" w:type="dxa"/>
          </w:tcPr>
          <w:p>
            <w:pPr>
              <w:pStyle w:val="0"/>
              <w:jc w:val="center"/>
            </w:pPr>
            <w:r>
              <w:rPr>
                <w:sz w:val="24"/>
              </w:rPr>
              <w:t xml:space="preserve">А</w:t>
            </w:r>
          </w:p>
        </w:tc>
        <w:tc>
          <w:tcPr>
            <w:tcW w:w="680" w:type="dxa"/>
          </w:tcPr>
          <w:p>
            <w:pPr>
              <w:pStyle w:val="0"/>
              <w:jc w:val="center"/>
            </w:pPr>
            <w:r>
              <w:rPr>
                <w:sz w:val="24"/>
              </w:rPr>
              <w:t xml:space="preserve">Б</w:t>
            </w:r>
          </w:p>
        </w:tc>
        <w:tc>
          <w:tcPr>
            <w:tcW w:w="680" w:type="dxa"/>
          </w:tcPr>
          <w:p>
            <w:pPr>
              <w:pStyle w:val="0"/>
              <w:jc w:val="center"/>
            </w:pPr>
            <w:r>
              <w:rPr>
                <w:sz w:val="24"/>
              </w:rPr>
              <w:t xml:space="preserve">В</w:t>
            </w:r>
          </w:p>
        </w:tc>
        <w:tc>
          <w:tcPr>
            <w:tcW w:w="624" w:type="dxa"/>
          </w:tcPr>
          <w:p>
            <w:pPr>
              <w:pStyle w:val="0"/>
              <w:jc w:val="center"/>
            </w:pPr>
            <w:r>
              <w:rPr>
                <w:sz w:val="24"/>
              </w:rPr>
              <w:t xml:space="preserve">Г</w:t>
            </w:r>
          </w:p>
        </w:tc>
      </w:tr>
      <w:tr>
        <w:tc>
          <w:tcPr>
            <w:tcW w:w="619" w:type="dxa"/>
            <w:vAlign w:val="center"/>
          </w:tcPr>
          <w:p>
            <w:pPr>
              <w:pStyle w:val="0"/>
              <w:jc w:val="center"/>
            </w:pPr>
            <w:r>
              <w:rPr>
                <w:sz w:val="24"/>
              </w:rPr>
              <w:t xml:space="preserve">1</w:t>
            </w:r>
          </w:p>
        </w:tc>
        <w:tc>
          <w:tcPr>
            <w:tcW w:w="5669" w:type="dxa"/>
          </w:tcPr>
          <w:p>
            <w:pPr>
              <w:pStyle w:val="0"/>
              <w:ind w:firstLine="283"/>
              <w:jc w:val="both"/>
            </w:pPr>
            <w:r>
              <w:rPr>
                <w:sz w:val="24"/>
              </w:rPr>
              <w:t xml:space="preserve">Документ, определяющий лиц, ответственных за физическую защиту РВ, ЯМ, подлежащих учету в СГУК РВ и РАО, при их транспортировании.</w:t>
            </w:r>
          </w:p>
        </w:tc>
        <w:tc>
          <w:tcPr>
            <w:tcW w:w="794" w:type="dxa"/>
            <w:vAlign w:val="center"/>
          </w:tcPr>
          <w:p>
            <w:pPr>
              <w:pStyle w:val="0"/>
              <w:jc w:val="center"/>
            </w:pPr>
            <w:r>
              <w:rPr>
                <w:sz w:val="24"/>
              </w:rPr>
              <w:t xml:space="preserve">+ </w:t>
            </w:r>
            <w:hyperlink w:history="0" w:anchor="P392" w:tooltip="&lt;1&gt; Знаком &quot;+&quot; обозначено наличие требования пункта к разработке (наличию) документа для соответствующего уровня физической защиты, знаком &quot;-&quot; обозначено отсутствие такого требования.">
              <w:r>
                <w:rPr>
                  <w:sz w:val="24"/>
                  <w:color w:val="0000ff"/>
                </w:rPr>
                <w:t xml:space="preserve">&lt;1&gt;</w:t>
              </w:r>
            </w:hyperlink>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2</w:t>
            </w:r>
          </w:p>
        </w:tc>
        <w:tc>
          <w:tcPr>
            <w:tcW w:w="5669" w:type="dxa"/>
          </w:tcPr>
          <w:p>
            <w:pPr>
              <w:pStyle w:val="0"/>
              <w:ind w:firstLine="283"/>
              <w:jc w:val="both"/>
            </w:pPr>
            <w:r>
              <w:rPr>
                <w:sz w:val="24"/>
              </w:rPr>
              <w:t xml:space="preserve">Документы, определяющие должностные обязанности персонала физической защиты организации.</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3</w:t>
            </w:r>
          </w:p>
        </w:tc>
        <w:tc>
          <w:tcPr>
            <w:tcW w:w="5669" w:type="dxa"/>
          </w:tcPr>
          <w:p>
            <w:pPr>
              <w:pStyle w:val="0"/>
              <w:ind w:firstLine="283"/>
              <w:jc w:val="both"/>
            </w:pPr>
            <w:r>
              <w:rPr>
                <w:sz w:val="24"/>
              </w:rPr>
              <w:t xml:space="preserve">Инструкции (план) о порядке действий в штатных и чрезвычайных ситуациях персонала физической защиты организации.</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4</w:t>
            </w:r>
          </w:p>
        </w:tc>
        <w:tc>
          <w:tcPr>
            <w:tcW w:w="5669" w:type="dxa"/>
          </w:tcPr>
          <w:p>
            <w:pPr>
              <w:pStyle w:val="0"/>
              <w:ind w:firstLine="283"/>
              <w:jc w:val="both"/>
            </w:pPr>
            <w:r>
              <w:rPr>
                <w:sz w:val="24"/>
              </w:rPr>
              <w:t xml:space="preserve">Документы, подтверждающие проведение инструктажа.</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5</w:t>
            </w:r>
          </w:p>
        </w:tc>
        <w:tc>
          <w:tcPr>
            <w:tcW w:w="5669" w:type="dxa"/>
          </w:tcPr>
          <w:p>
            <w:pPr>
              <w:pStyle w:val="0"/>
              <w:ind w:firstLine="283"/>
              <w:jc w:val="both"/>
            </w:pPr>
            <w:r>
              <w:rPr>
                <w:sz w:val="24"/>
              </w:rPr>
              <w:t xml:space="preserve">Документ, определяющий перечень перевозимых (транспортируемых) РВ, ЯМ, подлежащих учету в СГУК РВ и РАО, с указанием их активности, категорий (при транспортировании между различными организациями разрабатывается грузоотправителем).</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6</w:t>
            </w:r>
          </w:p>
        </w:tc>
        <w:tc>
          <w:tcPr>
            <w:tcW w:w="5669" w:type="dxa"/>
          </w:tcPr>
          <w:p>
            <w:pPr>
              <w:pStyle w:val="0"/>
              <w:ind w:firstLine="283"/>
              <w:jc w:val="both"/>
            </w:pPr>
            <w:r>
              <w:rPr>
                <w:sz w:val="24"/>
              </w:rPr>
              <w:t xml:space="preserve">Документ, устанавливающий уровень физической защиты (при транспортировании между различными организациями разрабатывается грузоотправителем).</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7</w:t>
            </w:r>
          </w:p>
        </w:tc>
        <w:tc>
          <w:tcPr>
            <w:tcW w:w="5669" w:type="dxa"/>
          </w:tcPr>
          <w:p>
            <w:pPr>
              <w:pStyle w:val="0"/>
              <w:ind w:firstLine="283"/>
              <w:jc w:val="both"/>
            </w:pPr>
            <w:r>
              <w:rPr>
                <w:sz w:val="24"/>
              </w:rPr>
              <w:t xml:space="preserve">План физической защиты РВ, ЯМ, подлежащих учету в СГУК РВ и РАО, при их транспортировании.</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8</w:t>
            </w:r>
          </w:p>
        </w:tc>
        <w:tc>
          <w:tcPr>
            <w:tcW w:w="5669" w:type="dxa"/>
          </w:tcPr>
          <w:p>
            <w:pPr>
              <w:pStyle w:val="0"/>
              <w:ind w:firstLine="283"/>
              <w:jc w:val="both"/>
            </w:pPr>
            <w:r>
              <w:rPr>
                <w:sz w:val="24"/>
              </w:rPr>
              <w:t xml:space="preserve">План взаимодействия руководства организации, ответственной за физическую защиту, с силами охраны (для уровней физической защиты "Б" и "В" - в случае их привлечения к операциям и условиям, которые связаны с перемещением РВ, ЯМ, подлежащих учету в СГУК РВ и РАО) в штатных и чрезвычайных ситуациях.</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9</w:t>
            </w:r>
          </w:p>
        </w:tc>
        <w:tc>
          <w:tcPr>
            <w:tcW w:w="5669" w:type="dxa"/>
          </w:tcPr>
          <w:p>
            <w:pPr>
              <w:pStyle w:val="0"/>
              <w:ind w:firstLine="283"/>
              <w:jc w:val="both"/>
            </w:pPr>
            <w:r>
              <w:rPr>
                <w:sz w:val="24"/>
              </w:rPr>
              <w:t xml:space="preserve">Журнал учета несанкционированных действий.</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10</w:t>
            </w:r>
          </w:p>
        </w:tc>
        <w:tc>
          <w:tcPr>
            <w:tcW w:w="5669" w:type="dxa"/>
          </w:tcPr>
          <w:p>
            <w:pPr>
              <w:pStyle w:val="0"/>
              <w:ind w:firstLine="283"/>
              <w:jc w:val="both"/>
            </w:pPr>
            <w:r>
              <w:rPr>
                <w:sz w:val="24"/>
              </w:rPr>
              <w:t xml:space="preserve">План проверок технического состояния и работоспособности инженерных и технических средств физической защиты.</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r>
        <w:tc>
          <w:tcPr>
            <w:tcW w:w="619" w:type="dxa"/>
            <w:vAlign w:val="center"/>
          </w:tcPr>
          <w:p>
            <w:pPr>
              <w:pStyle w:val="0"/>
              <w:jc w:val="center"/>
            </w:pPr>
            <w:r>
              <w:rPr>
                <w:sz w:val="24"/>
              </w:rPr>
              <w:t xml:space="preserve">11</w:t>
            </w:r>
          </w:p>
        </w:tc>
        <w:tc>
          <w:tcPr>
            <w:tcW w:w="5669" w:type="dxa"/>
          </w:tcPr>
          <w:p>
            <w:pPr>
              <w:pStyle w:val="0"/>
              <w:ind w:firstLine="283"/>
              <w:jc w:val="both"/>
            </w:pPr>
            <w:r>
              <w:rPr>
                <w:sz w:val="24"/>
              </w:rPr>
              <w:t xml:space="preserve">Положение о службе безопасности организации, ответственной за физическую защиту.</w:t>
            </w:r>
          </w:p>
        </w:tc>
        <w:tc>
          <w:tcPr>
            <w:tcW w:w="794"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624" w:type="dxa"/>
            <w:vAlign w:val="center"/>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w:t>
      </w:r>
    </w:p>
    <w:bookmarkStart w:id="392" w:name="P392"/>
    <w:bookmarkEnd w:id="392"/>
    <w:p>
      <w:pPr>
        <w:pStyle w:val="0"/>
        <w:spacing w:before="240" w:lineRule="auto"/>
        <w:ind w:firstLine="540"/>
        <w:jc w:val="both"/>
      </w:pPr>
      <w:r>
        <w:rPr>
          <w:sz w:val="24"/>
        </w:rPr>
        <w:t xml:space="preserve">&lt;1&gt; Знаком "+" обозначено наличие требования пункта к разработке (наличию) документа для соответствующего уровня физической защиты, знаком "-" обозначено отсутствие такого требования.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федеральным нормам и правилам в области</w:t>
      </w:r>
    </w:p>
    <w:p>
      <w:pPr>
        <w:pStyle w:val="0"/>
        <w:jc w:val="right"/>
      </w:pPr>
      <w:r>
        <w:rPr>
          <w:sz w:val="24"/>
        </w:rPr>
        <w:t xml:space="preserve">использования атомной энергии "Правила</w:t>
      </w:r>
    </w:p>
    <w:p>
      <w:pPr>
        <w:pStyle w:val="0"/>
        <w:jc w:val="right"/>
      </w:pPr>
      <w:r>
        <w:rPr>
          <w:sz w:val="24"/>
        </w:rPr>
        <w:t xml:space="preserve">физической защиты радиоактивных веществ</w:t>
      </w:r>
    </w:p>
    <w:p>
      <w:pPr>
        <w:pStyle w:val="0"/>
        <w:jc w:val="right"/>
      </w:pPr>
      <w:r>
        <w:rPr>
          <w:sz w:val="24"/>
        </w:rPr>
        <w:t xml:space="preserve">и отдельных ядерных материалов</w:t>
      </w:r>
    </w:p>
    <w:p>
      <w:pPr>
        <w:pStyle w:val="0"/>
        <w:jc w:val="right"/>
      </w:pPr>
      <w:r>
        <w:rPr>
          <w:sz w:val="24"/>
        </w:rPr>
        <w:t xml:space="preserve">при их транспортировании", утвержденным</w:t>
      </w:r>
    </w:p>
    <w:p>
      <w:pPr>
        <w:pStyle w:val="0"/>
        <w:jc w:val="right"/>
      </w:pPr>
      <w:r>
        <w:rPr>
          <w:sz w:val="24"/>
        </w:rPr>
        <w:t xml:space="preserve">приказом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23 ноября 2023 г. N 416</w:t>
      </w:r>
    </w:p>
    <w:p>
      <w:pPr>
        <w:pStyle w:val="0"/>
        <w:jc w:val="both"/>
      </w:pPr>
      <w:r>
        <w:rPr>
          <w:sz w:val="24"/>
        </w:rPr>
      </w:r>
    </w:p>
    <w:bookmarkStart w:id="409" w:name="P409"/>
    <w:bookmarkEnd w:id="409"/>
    <w:p>
      <w:pPr>
        <w:pStyle w:val="2"/>
        <w:jc w:val="center"/>
      </w:pPr>
      <w:r>
        <w:rPr>
          <w:sz w:val="24"/>
        </w:rPr>
        <w:t xml:space="preserve">СОДЕРЖАНИЕ ПЛАНА</w:t>
      </w:r>
    </w:p>
    <w:p>
      <w:pPr>
        <w:pStyle w:val="2"/>
        <w:jc w:val="center"/>
      </w:pPr>
      <w:r>
        <w:rPr>
          <w:sz w:val="24"/>
        </w:rPr>
        <w:t xml:space="preserve">ФИЗИЧЕСКОЙ ЗАЩИТЫ РАДИОАКТИВНЫХ ВЕЩЕСТВ, ОТДЕЛЬНЫХ ЯДЕРНЫХ</w:t>
      </w:r>
    </w:p>
    <w:p>
      <w:pPr>
        <w:pStyle w:val="2"/>
        <w:jc w:val="center"/>
      </w:pPr>
      <w:r>
        <w:rPr>
          <w:sz w:val="24"/>
        </w:rPr>
        <w:t xml:space="preserve">МАТЕРИАЛОВ, ПОДЛЕЖАЩИХ УЧЕТУ В СИСТЕМЕ ГОСУДАРСТВЕННОГО</w:t>
      </w:r>
    </w:p>
    <w:p>
      <w:pPr>
        <w:pStyle w:val="2"/>
        <w:jc w:val="center"/>
      </w:pPr>
      <w:r>
        <w:rPr>
          <w:sz w:val="24"/>
        </w:rPr>
        <w:t xml:space="preserve">УЧЕТА И КОНТРОЛЯ РАДИОАКТИВНЫХ ВЕЩЕСТВ И РАДИОАКТИВНЫХ</w:t>
      </w:r>
    </w:p>
    <w:p>
      <w:pPr>
        <w:pStyle w:val="2"/>
        <w:jc w:val="center"/>
      </w:pPr>
      <w:r>
        <w:rPr>
          <w:sz w:val="24"/>
        </w:rPr>
        <w:t xml:space="preserve">ОТХОДОВ, ПРИ ИХ ТРАНСПОРТИРОВАНИИ</w:t>
      </w:r>
    </w:p>
    <w:p>
      <w:pPr>
        <w:pStyle w:val="0"/>
        <w:jc w:val="both"/>
      </w:pPr>
      <w:r>
        <w:rPr>
          <w:sz w:val="24"/>
        </w:rPr>
      </w:r>
    </w:p>
    <w:p>
      <w:pPr>
        <w:pStyle w:val="0"/>
        <w:ind w:firstLine="540"/>
        <w:jc w:val="both"/>
      </w:pPr>
      <w:r>
        <w:rPr>
          <w:sz w:val="24"/>
        </w:rPr>
        <w:t xml:space="preserve">1. План физической защиты РВ, ЯМ, подлежащих учету в СГУК РВ и РАО, при их транспортировании должен содержать следующие сведения:</w:t>
      </w:r>
    </w:p>
    <w:p>
      <w:pPr>
        <w:pStyle w:val="0"/>
        <w:spacing w:before="240" w:lineRule="auto"/>
        <w:ind w:firstLine="540"/>
        <w:jc w:val="both"/>
      </w:pPr>
      <w:r>
        <w:rPr>
          <w:sz w:val="24"/>
        </w:rPr>
        <w:t xml:space="preserve">а) установленный уровень физической защиты РВ, ЯМ, подлежащих учету в СГУК РВ и РАО, при их транспортировании;</w:t>
      </w:r>
    </w:p>
    <w:p>
      <w:pPr>
        <w:pStyle w:val="0"/>
        <w:spacing w:before="240" w:lineRule="auto"/>
        <w:ind w:firstLine="540"/>
        <w:jc w:val="both"/>
      </w:pPr>
      <w:r>
        <w:rPr>
          <w:sz w:val="24"/>
        </w:rPr>
        <w:t xml:space="preserve">б) состав сопровождающих лиц, выполняющих обязанности по физической защите, и всех иных сопровождающих груз лиц;</w:t>
      </w:r>
    </w:p>
    <w:p>
      <w:pPr>
        <w:pStyle w:val="0"/>
        <w:spacing w:before="240" w:lineRule="auto"/>
        <w:ind w:firstLine="540"/>
        <w:jc w:val="both"/>
      </w:pPr>
      <w:r>
        <w:rPr>
          <w:sz w:val="24"/>
        </w:rPr>
        <w:t xml:space="preserve">в) ответственность и обязанности сопровождающих лиц по осуществлению физической защиты (в случае их привлечения к операциям и условиям, которые связаны с перемещением РВ, ЯМ, подлежащих учету в СГУК РВ и РАО);</w:t>
      </w:r>
    </w:p>
    <w:p>
      <w:pPr>
        <w:pStyle w:val="0"/>
        <w:spacing w:before="240" w:lineRule="auto"/>
        <w:ind w:firstLine="540"/>
        <w:jc w:val="both"/>
      </w:pPr>
      <w:r>
        <w:rPr>
          <w:sz w:val="24"/>
        </w:rPr>
        <w:t xml:space="preserve">г) обязанности сил охраны (в случае их привлечения к операциям и условиям, которые связаны с перемещением РВ, ЯМ, подлежащих учету в СГУК РВ и РАО);</w:t>
      </w:r>
    </w:p>
    <w:p>
      <w:pPr>
        <w:pStyle w:val="0"/>
        <w:spacing w:before="240" w:lineRule="auto"/>
        <w:ind w:firstLine="540"/>
        <w:jc w:val="both"/>
      </w:pPr>
      <w:r>
        <w:rPr>
          <w:sz w:val="24"/>
        </w:rPr>
        <w:t xml:space="preserve">д) меры подготовки и осуществления транспортирования;</w:t>
      </w:r>
    </w:p>
    <w:p>
      <w:pPr>
        <w:pStyle w:val="0"/>
        <w:spacing w:before="240" w:lineRule="auto"/>
        <w:ind w:firstLine="540"/>
        <w:jc w:val="both"/>
      </w:pPr>
      <w:r>
        <w:rPr>
          <w:sz w:val="24"/>
        </w:rPr>
        <w:t xml:space="preserve">е) результаты планирования обеспечения физической защиты при транспортировании;</w:t>
      </w:r>
    </w:p>
    <w:p>
      <w:pPr>
        <w:pStyle w:val="0"/>
        <w:spacing w:before="240" w:lineRule="auto"/>
        <w:ind w:firstLine="540"/>
        <w:jc w:val="both"/>
      </w:pPr>
      <w:r>
        <w:rPr>
          <w:sz w:val="24"/>
        </w:rPr>
        <w:t xml:space="preserve">ж) меры скрытия и защиты информации о подготовке и осуществлении транспортирования;</w:t>
      </w:r>
    </w:p>
    <w:p>
      <w:pPr>
        <w:pStyle w:val="0"/>
        <w:spacing w:before="240" w:lineRule="auto"/>
        <w:ind w:firstLine="540"/>
        <w:jc w:val="both"/>
      </w:pPr>
      <w:r>
        <w:rPr>
          <w:sz w:val="24"/>
        </w:rPr>
        <w:t xml:space="preserve">з) меры реагирования при несанкционированных действиях и в чрезвычайных ситуациях;</w:t>
      </w:r>
    </w:p>
    <w:p>
      <w:pPr>
        <w:pStyle w:val="0"/>
        <w:spacing w:before="240" w:lineRule="auto"/>
        <w:ind w:firstLine="540"/>
        <w:jc w:val="both"/>
      </w:pPr>
      <w:r>
        <w:rPr>
          <w:sz w:val="24"/>
        </w:rPr>
        <w:t xml:space="preserve">и) порядок использования средств связи и слежения за транспортированием;</w:t>
      </w:r>
    </w:p>
    <w:p>
      <w:pPr>
        <w:pStyle w:val="0"/>
        <w:spacing w:before="240" w:lineRule="auto"/>
        <w:ind w:firstLine="540"/>
        <w:jc w:val="both"/>
      </w:pPr>
      <w:r>
        <w:rPr>
          <w:sz w:val="24"/>
        </w:rPr>
        <w:t xml:space="preserve">к) порядок применения средств охранной сигнализации, включая места их установки;</w:t>
      </w:r>
    </w:p>
    <w:p>
      <w:pPr>
        <w:pStyle w:val="0"/>
        <w:spacing w:before="240" w:lineRule="auto"/>
        <w:ind w:firstLine="540"/>
        <w:jc w:val="both"/>
      </w:pPr>
      <w:r>
        <w:rPr>
          <w:sz w:val="24"/>
        </w:rPr>
        <w:t xml:space="preserve">л) меры и порядок осуществления связи и взаимодействия между грузоотправителем, грузополучателем, перевозчиком, сотрудником, осуществляющим контроль за транспортированием (за исключением транспортирования мобильных РИ, а также РВ, ЯМ, подлежащих учету в СГУК РВ и РАО, между радиационными объектами одной и той же организации);</w:t>
      </w:r>
    </w:p>
    <w:p>
      <w:pPr>
        <w:pStyle w:val="0"/>
        <w:spacing w:before="240" w:lineRule="auto"/>
        <w:ind w:firstLine="540"/>
        <w:jc w:val="both"/>
      </w:pPr>
      <w:r>
        <w:rPr>
          <w:sz w:val="24"/>
        </w:rPr>
        <w:t xml:space="preserve">м) меры и порядок осуществления взаимодействия руководства организации, ответственной за физическую защиту, сил охраны (в случае их привлечения к операциям и условиям, которые связаны с перемещением РВ, ЯМ, подлежащих учету в СГУК РВ и РАО) в штатных и чрезвычайных ситуациях;</w:t>
      </w:r>
    </w:p>
    <w:p>
      <w:pPr>
        <w:pStyle w:val="0"/>
        <w:spacing w:before="240" w:lineRule="auto"/>
        <w:ind w:firstLine="540"/>
        <w:jc w:val="both"/>
      </w:pPr>
      <w:r>
        <w:rPr>
          <w:sz w:val="24"/>
        </w:rPr>
        <w:t xml:space="preserve">н) дополнительные меры охраны груза при аварии с ним или с транспортным средством;</w:t>
      </w:r>
    </w:p>
    <w:p>
      <w:pPr>
        <w:pStyle w:val="0"/>
        <w:spacing w:before="240" w:lineRule="auto"/>
        <w:ind w:firstLine="540"/>
        <w:jc w:val="both"/>
      </w:pPr>
      <w:r>
        <w:rPr>
          <w:sz w:val="24"/>
        </w:rPr>
        <w:t xml:space="preserve">о) порядок уведомления о нарушениях, связанных с несанкционированными действиями с РВ, ЯМ, подлежащими учету в СГУК РВ и РАО, используемые при уведомлении виды связи.</w:t>
      </w:r>
    </w:p>
    <w:p>
      <w:pPr>
        <w:pStyle w:val="0"/>
        <w:spacing w:before="240" w:lineRule="auto"/>
        <w:ind w:firstLine="540"/>
        <w:jc w:val="both"/>
      </w:pPr>
      <w:r>
        <w:rPr>
          <w:sz w:val="24"/>
        </w:rPr>
        <w:t xml:space="preserve">2. Содержание плана физической защиты РВ, ЯМ, подлежащих учету в СГУК РВ и РАО, при их транспортировании уточняется в соответствии с требованиями для соответствующих уровней физической защиты.</w:t>
      </w:r>
    </w:p>
    <w:p>
      <w:pPr>
        <w:pStyle w:val="0"/>
        <w:spacing w:before="240" w:lineRule="auto"/>
        <w:ind w:firstLine="540"/>
        <w:jc w:val="both"/>
      </w:pPr>
      <w:r>
        <w:rPr>
          <w:sz w:val="24"/>
        </w:rPr>
        <w:t xml:space="preserve">3. В план физической защиты РВ, ЯМ, подлежащих учету в СГУК РВ и РАО, при их транспортировании должны быть включены письменные инструкции (план) о порядке действий в штатных и чрезвычайных ситуациях персонала физической защиты, участвующего в операциях транспортирования.</w:t>
      </w:r>
    </w:p>
    <w:p>
      <w:pPr>
        <w:pStyle w:val="0"/>
        <w:spacing w:before="240" w:lineRule="auto"/>
        <w:ind w:firstLine="540"/>
        <w:jc w:val="both"/>
      </w:pPr>
      <w:r>
        <w:rPr>
          <w:sz w:val="24"/>
        </w:rPr>
        <w:t xml:space="preserve">Персонал физической защиты, участвующий в операциях транспортирования, должен быть ознакомлен с инструкциями (планом) о порядке действий в штатных и чрезвычайных ситуациях персонала физической защиты под роспись. Документы, подтверждающие факт такого ознакомления, должны быть приложены к плану физической защиты РВ, ЯМ, подлежащих учету в СГУК РВ и РАО, при их транспортировании.</w:t>
      </w:r>
    </w:p>
    <w:p>
      <w:pPr>
        <w:pStyle w:val="0"/>
        <w:spacing w:before="240" w:lineRule="auto"/>
        <w:ind w:firstLine="540"/>
        <w:jc w:val="both"/>
      </w:pPr>
      <w:r>
        <w:rPr>
          <w:sz w:val="24"/>
        </w:rPr>
        <w:t xml:space="preserve">4. В случае если транспортирование включает временное (транзитное) хранение, в план физической защиты РВ, ЯМ, подлежащих учету в СГУК РВ и РАО, при их транспортировании должны включаться сведения из плана физической защиты радиационного объекта, на котором будет осуществляться временное (транзитное) хранение.</w:t>
      </w:r>
    </w:p>
    <w:p>
      <w:pPr>
        <w:pStyle w:val="0"/>
        <w:spacing w:before="240" w:lineRule="auto"/>
        <w:ind w:firstLine="540"/>
        <w:jc w:val="both"/>
      </w:pPr>
      <w:r>
        <w:rPr>
          <w:sz w:val="24"/>
        </w:rPr>
        <w:t xml:space="preserve">5. С учетом установленного уровня физической защиты в план физической защиты РВ, ЯМ, подлежащих учету в СГУК РВ и РАО, при их транспортировании должны быть включены в виде приложения документы (или должны быть даны ссылки на документы), указанные в </w:t>
      </w:r>
      <w:hyperlink w:history="0" w:anchor="P313" w:tooltip="ДОКУМЕНТЫ">
        <w:r>
          <w:rPr>
            <w:sz w:val="24"/>
            <w:color w:val="0000ff"/>
          </w:rPr>
          <w:t xml:space="preserve">приложении N 4</w:t>
        </w:r>
      </w:hyperlink>
      <w:r>
        <w:rPr>
          <w:sz w:val="24"/>
        </w:rPr>
        <w:t xml:space="preserve"> к настоящим Правилам, и план работ по ликвидации последствий аварий. План работ по ликвидации последствий аварии разрабатывается и утверждается в порядке, установленном </w:t>
      </w:r>
      <w:hyperlink w:history="0" r:id="rId17" w:tooltip="Приказ Ростехнадзора от 15.09.2016 N 388 (ред. от 09.09.2025) &quot;Об утверждении федеральных норм и правил в области использования атомной энергии &quot;Правила безопасности при транспортировании радиоактивных материалов&quot; (вместе с &quot;НП-053-16. Федеральные нормы и правила...&quot;) (Зарегистрировано в Минюсте России 24.01.2017 N 45375) {КонсультантПлюс}">
        <w:r>
          <w:rPr>
            <w:sz w:val="24"/>
            <w:color w:val="0000ff"/>
          </w:rPr>
          <w:t xml:space="preserve">НП-053-16</w:t>
        </w:r>
      </w:hyperlink>
      <w:r>
        <w:rPr>
          <w:sz w:val="24"/>
        </w:rPr>
        <w:t xml:space="preserve">.</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федеральным нормам и правилам в области</w:t>
      </w:r>
    </w:p>
    <w:p>
      <w:pPr>
        <w:pStyle w:val="0"/>
        <w:jc w:val="right"/>
      </w:pPr>
      <w:r>
        <w:rPr>
          <w:sz w:val="24"/>
        </w:rPr>
        <w:t xml:space="preserve">использования атомной энергии "Правила</w:t>
      </w:r>
    </w:p>
    <w:p>
      <w:pPr>
        <w:pStyle w:val="0"/>
        <w:jc w:val="right"/>
      </w:pPr>
      <w:r>
        <w:rPr>
          <w:sz w:val="24"/>
        </w:rPr>
        <w:t xml:space="preserve">физической защиты радиоактивных веществ</w:t>
      </w:r>
    </w:p>
    <w:p>
      <w:pPr>
        <w:pStyle w:val="0"/>
        <w:jc w:val="right"/>
      </w:pPr>
      <w:r>
        <w:rPr>
          <w:sz w:val="24"/>
        </w:rPr>
        <w:t xml:space="preserve">и отдельных ядерных материалов</w:t>
      </w:r>
    </w:p>
    <w:p>
      <w:pPr>
        <w:pStyle w:val="0"/>
        <w:jc w:val="right"/>
      </w:pPr>
      <w:r>
        <w:rPr>
          <w:sz w:val="24"/>
        </w:rPr>
        <w:t xml:space="preserve">при их транспортировании", утвержденным</w:t>
      </w:r>
    </w:p>
    <w:p>
      <w:pPr>
        <w:pStyle w:val="0"/>
        <w:jc w:val="right"/>
      </w:pPr>
      <w:r>
        <w:rPr>
          <w:sz w:val="24"/>
        </w:rPr>
        <w:t xml:space="preserve">приказом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23 ноября 2023 г. N 416</w:t>
      </w:r>
    </w:p>
    <w:p>
      <w:pPr>
        <w:pStyle w:val="0"/>
        <w:jc w:val="both"/>
      </w:pPr>
      <w:r>
        <w:rPr>
          <w:sz w:val="24"/>
        </w:rPr>
      </w:r>
    </w:p>
    <w:bookmarkStart w:id="451" w:name="P451"/>
    <w:bookmarkEnd w:id="451"/>
    <w:p>
      <w:pPr>
        <w:pStyle w:val="2"/>
        <w:jc w:val="center"/>
      </w:pPr>
      <w:r>
        <w:rPr>
          <w:sz w:val="24"/>
        </w:rPr>
        <w:t xml:space="preserve">СОСТАВ</w:t>
      </w:r>
    </w:p>
    <w:p>
      <w:pPr>
        <w:pStyle w:val="2"/>
        <w:jc w:val="center"/>
      </w:pPr>
      <w:r>
        <w:rPr>
          <w:sz w:val="24"/>
        </w:rPr>
        <w:t xml:space="preserve">ТРЕБОВАНИЙ К ФИЗИЧЕСКОЙ ЗАЩИТЕ РАДИОАКТИВНЫХ ВЕЩЕСТВ,</w:t>
      </w:r>
    </w:p>
    <w:p>
      <w:pPr>
        <w:pStyle w:val="2"/>
        <w:jc w:val="center"/>
      </w:pPr>
      <w:r>
        <w:rPr>
          <w:sz w:val="24"/>
        </w:rPr>
        <w:t xml:space="preserve">ОТДЕЛЬНЫХ ЯДЕРНЫХ МАТЕРИАЛОВ, ПОДЛЕЖАЩИХ УЧЕТУ В СИСТЕМЕ</w:t>
      </w:r>
    </w:p>
    <w:p>
      <w:pPr>
        <w:pStyle w:val="2"/>
        <w:jc w:val="center"/>
      </w:pPr>
      <w:r>
        <w:rPr>
          <w:sz w:val="24"/>
        </w:rPr>
        <w:t xml:space="preserve">ГОСУДАРСТВЕННОГО УЧЕТА И КОНТРОЛЯ РАДИОАКТИВНЫХ ВЕЩЕСТВ</w:t>
      </w:r>
    </w:p>
    <w:p>
      <w:pPr>
        <w:pStyle w:val="2"/>
        <w:jc w:val="center"/>
      </w:pPr>
      <w:r>
        <w:rPr>
          <w:sz w:val="24"/>
        </w:rPr>
        <w:t xml:space="preserve">И РАДИОАКТИВНЫХ ОТХОДОВ, ПРИ ИХ ТРАНСПОРТИРОВАНИИ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9"/>
        <w:gridCol w:w="5669"/>
        <w:gridCol w:w="794"/>
        <w:gridCol w:w="680"/>
        <w:gridCol w:w="680"/>
        <w:gridCol w:w="624"/>
      </w:tblGrid>
      <w:tr>
        <w:tc>
          <w:tcPr>
            <w:tcW w:w="619" w:type="dxa"/>
            <w:vMerge w:val="restart"/>
          </w:tcPr>
          <w:p>
            <w:pPr>
              <w:pStyle w:val="0"/>
              <w:jc w:val="center"/>
            </w:pPr>
            <w:r>
              <w:rPr>
                <w:sz w:val="24"/>
              </w:rPr>
              <w:t xml:space="preserve">N п/п</w:t>
            </w:r>
          </w:p>
        </w:tc>
        <w:tc>
          <w:tcPr>
            <w:tcW w:w="5669" w:type="dxa"/>
            <w:vMerge w:val="restart"/>
          </w:tcPr>
          <w:p>
            <w:pPr>
              <w:pStyle w:val="0"/>
              <w:jc w:val="center"/>
            </w:pPr>
            <w:r>
              <w:rPr>
                <w:sz w:val="24"/>
              </w:rPr>
              <w:t xml:space="preserve">Требования к физической защите</w:t>
            </w:r>
          </w:p>
        </w:tc>
        <w:tc>
          <w:tcPr>
            <w:gridSpan w:val="4"/>
            <w:tcW w:w="2778" w:type="dxa"/>
          </w:tcPr>
          <w:p>
            <w:pPr>
              <w:pStyle w:val="0"/>
              <w:jc w:val="center"/>
            </w:pPr>
            <w:r>
              <w:rPr>
                <w:sz w:val="24"/>
              </w:rPr>
              <w:t xml:space="preserve">Уровень физической защиты</w:t>
            </w:r>
          </w:p>
        </w:tc>
      </w:tr>
      <w:tr>
        <w:tc>
          <w:tcPr>
            <w:vMerge w:val="continue"/>
          </w:tcPr>
          <w:p/>
        </w:tc>
        <w:tc>
          <w:tcPr>
            <w:vMerge w:val="continue"/>
          </w:tcPr>
          <w:p/>
        </w:tc>
        <w:tc>
          <w:tcPr>
            <w:tcW w:w="794" w:type="dxa"/>
          </w:tcPr>
          <w:p>
            <w:pPr>
              <w:pStyle w:val="0"/>
              <w:jc w:val="center"/>
            </w:pPr>
            <w:r>
              <w:rPr>
                <w:sz w:val="24"/>
              </w:rPr>
              <w:t xml:space="preserve">А</w:t>
            </w:r>
          </w:p>
        </w:tc>
        <w:tc>
          <w:tcPr>
            <w:tcW w:w="680" w:type="dxa"/>
          </w:tcPr>
          <w:p>
            <w:pPr>
              <w:pStyle w:val="0"/>
              <w:jc w:val="center"/>
            </w:pPr>
            <w:r>
              <w:rPr>
                <w:sz w:val="24"/>
              </w:rPr>
              <w:t xml:space="preserve">Б</w:t>
            </w:r>
          </w:p>
        </w:tc>
        <w:tc>
          <w:tcPr>
            <w:tcW w:w="680" w:type="dxa"/>
          </w:tcPr>
          <w:p>
            <w:pPr>
              <w:pStyle w:val="0"/>
              <w:jc w:val="center"/>
            </w:pPr>
            <w:r>
              <w:rPr>
                <w:sz w:val="24"/>
              </w:rPr>
              <w:t xml:space="preserve">В</w:t>
            </w:r>
          </w:p>
        </w:tc>
        <w:tc>
          <w:tcPr>
            <w:tcW w:w="624" w:type="dxa"/>
          </w:tcPr>
          <w:p>
            <w:pPr>
              <w:pStyle w:val="0"/>
              <w:jc w:val="center"/>
            </w:pPr>
            <w:r>
              <w:rPr>
                <w:sz w:val="24"/>
              </w:rPr>
              <w:t xml:space="preserve">Г</w:t>
            </w:r>
          </w:p>
        </w:tc>
      </w:tr>
      <w:tr>
        <w:tc>
          <w:tcPr>
            <w:gridSpan w:val="6"/>
            <w:tcW w:w="9066" w:type="dxa"/>
          </w:tcPr>
          <w:p>
            <w:pPr>
              <w:pStyle w:val="0"/>
              <w:outlineLvl w:val="2"/>
              <w:jc w:val="center"/>
            </w:pPr>
            <w:r>
              <w:rPr>
                <w:sz w:val="24"/>
              </w:rPr>
              <w:t xml:space="preserve">Требования к организационным мероприятиям</w:t>
            </w:r>
          </w:p>
        </w:tc>
      </w:tr>
      <w:tr>
        <w:tc>
          <w:tcPr>
            <w:tcW w:w="619" w:type="dxa"/>
          </w:tcPr>
          <w:p>
            <w:pPr>
              <w:pStyle w:val="0"/>
              <w:jc w:val="center"/>
            </w:pPr>
            <w:r>
              <w:rPr>
                <w:sz w:val="24"/>
              </w:rPr>
              <w:t xml:space="preserve">1</w:t>
            </w:r>
          </w:p>
        </w:tc>
        <w:tc>
          <w:tcPr>
            <w:tcW w:w="5669" w:type="dxa"/>
          </w:tcPr>
          <w:p>
            <w:pPr>
              <w:pStyle w:val="0"/>
              <w:ind w:firstLine="283"/>
              <w:jc w:val="both"/>
            </w:pPr>
            <w:r>
              <w:rPr>
                <w:sz w:val="24"/>
              </w:rPr>
              <w:t xml:space="preserve">Физическая защита груза при транспортировании должна осуществляться с момента его загрузки до момента его выгрузки на радиационном объекте организации.</w:t>
            </w:r>
          </w:p>
        </w:tc>
        <w:tc>
          <w:tcPr>
            <w:tcW w:w="794" w:type="dxa"/>
          </w:tcPr>
          <w:p>
            <w:pPr>
              <w:pStyle w:val="0"/>
              <w:jc w:val="center"/>
            </w:pPr>
            <w:r>
              <w:rPr>
                <w:sz w:val="24"/>
              </w:rPr>
              <w:t xml:space="preserve">+ </w:t>
            </w:r>
            <w:hyperlink w:history="0" w:anchor="P864" w:tooltip="&lt;2&gt; Знаком &quot;+&quot; обозначено наличие требования пункта для соответствующего уровня физической защиты, знаком &quot;-&quot; обозначено отсутствие такого требования.">
              <w:r>
                <w:rPr>
                  <w:sz w:val="24"/>
                  <w:color w:val="0000ff"/>
                </w:rPr>
                <w:t xml:space="preserve">&lt;2&gt;</w:t>
              </w:r>
            </w:hyperlink>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bookmarkStart w:id="471" w:name="P471"/>
          <w:bookmarkEnd w:id="471"/>
          <w:p>
            <w:pPr>
              <w:pStyle w:val="0"/>
              <w:jc w:val="center"/>
            </w:pPr>
            <w:r>
              <w:rPr>
                <w:sz w:val="24"/>
              </w:rPr>
              <w:t xml:space="preserve">2</w:t>
            </w:r>
          </w:p>
        </w:tc>
        <w:tc>
          <w:tcPr>
            <w:tcW w:w="5669" w:type="dxa"/>
          </w:tcPr>
          <w:p>
            <w:pPr>
              <w:pStyle w:val="0"/>
              <w:ind w:firstLine="283"/>
              <w:jc w:val="both"/>
            </w:pPr>
            <w:r>
              <w:rPr>
                <w:sz w:val="24"/>
              </w:rPr>
              <w:t xml:space="preserve">Грузоотправитель в случае, если он не является организацией, ответственной за физическую защиту, до начала транспортирования должен получить документальное (письменное) подтверждение наличия у организации, ответственной за физическую защиту, действующего на весь период транспортирования груза разрешения (лицензии) на право ведения работ в области использования атомной энергии </w:t>
            </w:r>
            <w:hyperlink w:history="0" w:anchor="P865" w:tooltip="&lt;3&gt; Часть четвертая статьи 26 Федерального закона от 21 ноября 1995 г. N 170-ФЗ &quot;Об использовании атомной энергии&quot;.">
              <w:r>
                <w:rPr>
                  <w:sz w:val="24"/>
                  <w:color w:val="0000ff"/>
                </w:rPr>
                <w:t xml:space="preserve">&lt;3&gt;</w:t>
              </w:r>
            </w:hyperlink>
            <w:r>
              <w:rPr>
                <w:sz w:val="24"/>
              </w:rPr>
              <w:t xml:space="preserve"> или сведений о регистрации как организации, осуществляющей деятельность по эксплуатации РИ, содержащих в своем составе только радионуклидные источники четвертой и пятой категорий радиационной опасности </w:t>
            </w:r>
            <w:hyperlink w:history="0" w:anchor="P866" w:tooltip="&lt;4&gt; Часть пятая статьи 36.1 Федерального закона от 21 ноября 1995 г. N 170-ФЗ &quot;Об использовании атомной энергии&quot;.">
              <w:r>
                <w:rPr>
                  <w:sz w:val="24"/>
                  <w:color w:val="0000ff"/>
                </w:rPr>
                <w:t xml:space="preserve">&lt;4&gt;</w:t>
              </w:r>
            </w:hyperlink>
            <w:r>
              <w:rPr>
                <w:sz w:val="24"/>
              </w:rPr>
              <w:t xml:space="preserve">.</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bookmarkStart w:id="477" w:name="P477"/>
          <w:bookmarkEnd w:id="477"/>
          <w:p>
            <w:pPr>
              <w:pStyle w:val="0"/>
              <w:jc w:val="center"/>
            </w:pPr>
            <w:r>
              <w:rPr>
                <w:sz w:val="24"/>
              </w:rPr>
              <w:t xml:space="preserve">3</w:t>
            </w:r>
          </w:p>
        </w:tc>
        <w:tc>
          <w:tcPr>
            <w:tcW w:w="5669" w:type="dxa"/>
          </w:tcPr>
          <w:p>
            <w:pPr>
              <w:pStyle w:val="0"/>
              <w:ind w:firstLine="283"/>
              <w:jc w:val="both"/>
            </w:pPr>
            <w:r>
              <w:rPr>
                <w:sz w:val="24"/>
              </w:rPr>
              <w:t xml:space="preserve">Грузоотправителю запрещается отправлять груз, если не была документально определена организация, ответственная за физическую защиту.</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jc w:val="center"/>
            </w:pPr>
            <w:r>
              <w:rPr>
                <w:sz w:val="24"/>
              </w:rPr>
              <w:t xml:space="preserve">4</w:t>
            </w:r>
          </w:p>
        </w:tc>
        <w:tc>
          <w:tcPr>
            <w:tcW w:w="5669" w:type="dxa"/>
          </w:tcPr>
          <w:p>
            <w:pPr>
              <w:pStyle w:val="0"/>
              <w:ind w:firstLine="283"/>
              <w:jc w:val="both"/>
            </w:pPr>
            <w:r>
              <w:rPr>
                <w:sz w:val="24"/>
              </w:rPr>
              <w:t xml:space="preserve">В случае если транспортирование выполняется несколькими видами перевозочных средств, которое организуется одним или несколькими перевозчиками, грузоотправителю запрещается отправлять груз, если ответственность за обеспечение физической защиты не была определена документально для каждого этапа и вида транспорта.</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bookmarkStart w:id="489" w:name="P489"/>
          <w:bookmarkEnd w:id="489"/>
          <w:p>
            <w:pPr>
              <w:pStyle w:val="0"/>
              <w:jc w:val="center"/>
            </w:pPr>
            <w:r>
              <w:rPr>
                <w:sz w:val="24"/>
              </w:rPr>
              <w:t xml:space="preserve">5</w:t>
            </w:r>
          </w:p>
        </w:tc>
        <w:tc>
          <w:tcPr>
            <w:tcW w:w="5669" w:type="dxa"/>
          </w:tcPr>
          <w:p>
            <w:pPr>
              <w:pStyle w:val="0"/>
              <w:ind w:firstLine="283"/>
              <w:jc w:val="both"/>
            </w:pPr>
            <w:r>
              <w:rPr>
                <w:sz w:val="24"/>
              </w:rPr>
              <w:t xml:space="preserve">До начала транспортирования грузоотправитель должен не менее чем за сутки до отправления груза уведомить грузополучателя о дате планируемой отправки груза и о планируемом сроке его доставки, а также получить подтверждение грузополучателя о готовности принять груз в указанные сроки.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bookmarkStart w:id="495" w:name="P495"/>
          <w:bookmarkEnd w:id="495"/>
          <w:p>
            <w:pPr>
              <w:pStyle w:val="0"/>
              <w:jc w:val="center"/>
            </w:pPr>
            <w:r>
              <w:rPr>
                <w:sz w:val="24"/>
              </w:rPr>
              <w:t xml:space="preserve">6</w:t>
            </w:r>
          </w:p>
        </w:tc>
        <w:tc>
          <w:tcPr>
            <w:tcW w:w="5669" w:type="dxa"/>
          </w:tcPr>
          <w:p>
            <w:pPr>
              <w:pStyle w:val="0"/>
              <w:ind w:firstLine="283"/>
              <w:jc w:val="both"/>
            </w:pPr>
            <w:r>
              <w:rPr>
                <w:sz w:val="24"/>
              </w:rPr>
              <w:t xml:space="preserve">Грузоотправитель должен документировать сведения:</w:t>
            </w:r>
          </w:p>
          <w:p>
            <w:pPr>
              <w:pStyle w:val="0"/>
              <w:ind w:firstLine="283"/>
              <w:jc w:val="both"/>
            </w:pPr>
            <w:r>
              <w:rPr>
                <w:sz w:val="24"/>
              </w:rPr>
              <w:t xml:space="preserve">об отправке уведомления о дате планируемой отправки груза и о планируемом сроке его доставки;</w:t>
            </w:r>
          </w:p>
          <w:p>
            <w:pPr>
              <w:pStyle w:val="0"/>
              <w:ind w:firstLine="283"/>
              <w:jc w:val="both"/>
            </w:pPr>
            <w:r>
              <w:rPr>
                <w:sz w:val="24"/>
              </w:rPr>
              <w:t xml:space="preserve">о получении подтверждения о готовности принять груз;</w:t>
            </w:r>
          </w:p>
          <w:p>
            <w:pPr>
              <w:pStyle w:val="0"/>
              <w:ind w:firstLine="283"/>
              <w:jc w:val="both"/>
            </w:pPr>
            <w:r>
              <w:rPr>
                <w:sz w:val="24"/>
              </w:rPr>
              <w:t xml:space="preserve">о получении груза.</w:t>
            </w:r>
          </w:p>
          <w:p>
            <w:pPr>
              <w:pStyle w:val="0"/>
              <w:ind w:firstLine="283"/>
              <w:jc w:val="both"/>
            </w:pPr>
            <w:r>
              <w:rPr>
                <w:sz w:val="24"/>
              </w:rPr>
              <w:t xml:space="preserve">Указанные сведения должны храниться грузоотправителем не менее пяти лет со дня документирования.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bookmarkStart w:id="505" w:name="P505"/>
          <w:bookmarkEnd w:id="505"/>
          <w:p>
            <w:pPr>
              <w:pStyle w:val="0"/>
              <w:jc w:val="center"/>
            </w:pPr>
            <w:r>
              <w:rPr>
                <w:sz w:val="24"/>
              </w:rPr>
              <w:t xml:space="preserve">7</w:t>
            </w:r>
          </w:p>
        </w:tc>
        <w:tc>
          <w:tcPr>
            <w:tcW w:w="5669" w:type="dxa"/>
          </w:tcPr>
          <w:p>
            <w:pPr>
              <w:pStyle w:val="0"/>
              <w:ind w:firstLine="283"/>
              <w:jc w:val="both"/>
            </w:pPr>
            <w:r>
              <w:rPr>
                <w:sz w:val="24"/>
              </w:rPr>
              <w:t xml:space="preserve">Грузополучатель должен документировать сведения:</w:t>
            </w:r>
          </w:p>
          <w:p>
            <w:pPr>
              <w:pStyle w:val="0"/>
              <w:ind w:firstLine="283"/>
              <w:jc w:val="both"/>
            </w:pPr>
            <w:r>
              <w:rPr>
                <w:sz w:val="24"/>
              </w:rPr>
              <w:t xml:space="preserve">о получении уведомления о планируемой отправке груза;</w:t>
            </w:r>
          </w:p>
          <w:p>
            <w:pPr>
              <w:pStyle w:val="0"/>
              <w:ind w:firstLine="283"/>
              <w:jc w:val="both"/>
            </w:pPr>
            <w:r>
              <w:rPr>
                <w:sz w:val="24"/>
              </w:rPr>
              <w:t xml:space="preserve">об отправке грузоотправителю подтверждения о готовности принять груз;</w:t>
            </w:r>
          </w:p>
          <w:p>
            <w:pPr>
              <w:pStyle w:val="0"/>
              <w:ind w:firstLine="283"/>
              <w:jc w:val="both"/>
            </w:pPr>
            <w:r>
              <w:rPr>
                <w:sz w:val="24"/>
              </w:rPr>
              <w:t xml:space="preserve">об отправке уведомления о принятом грузе.</w:t>
            </w:r>
          </w:p>
          <w:p>
            <w:pPr>
              <w:pStyle w:val="0"/>
              <w:ind w:firstLine="283"/>
              <w:jc w:val="both"/>
            </w:pPr>
            <w:r>
              <w:rPr>
                <w:sz w:val="24"/>
              </w:rPr>
              <w:t xml:space="preserve">Указанные сведения должны храниться грузополучателем не менее пяти лет со дня документирования.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jc w:val="center"/>
            </w:pPr>
            <w:r>
              <w:rPr>
                <w:sz w:val="24"/>
              </w:rPr>
              <w:t xml:space="preserve">8</w:t>
            </w:r>
          </w:p>
        </w:tc>
        <w:tc>
          <w:tcPr>
            <w:tcW w:w="5669" w:type="dxa"/>
          </w:tcPr>
          <w:p>
            <w:pPr>
              <w:pStyle w:val="0"/>
              <w:ind w:firstLine="283"/>
              <w:jc w:val="both"/>
            </w:pPr>
            <w:r>
              <w:rPr>
                <w:sz w:val="24"/>
              </w:rPr>
              <w:t xml:space="preserve">Грузоотправителем, грузополучателем и перевозчиком должна осуществляться защита информации о транспортировании груза и мерах физической защиты при конкретной перевозке в соответствии с законодательством Российской Федерации.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jc w:val="center"/>
            </w:pPr>
            <w:r>
              <w:rPr>
                <w:sz w:val="24"/>
              </w:rPr>
              <w:t xml:space="preserve">9</w:t>
            </w:r>
          </w:p>
        </w:tc>
        <w:tc>
          <w:tcPr>
            <w:tcW w:w="5669" w:type="dxa"/>
          </w:tcPr>
          <w:p>
            <w:pPr>
              <w:pStyle w:val="0"/>
              <w:ind w:firstLine="283"/>
              <w:jc w:val="both"/>
            </w:pPr>
            <w:r>
              <w:rPr>
                <w:sz w:val="24"/>
              </w:rPr>
              <w:t xml:space="preserve">Организация, ответственная за физическую защиту, должна проводить планирование обеспечения физической защиты при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10</w:t>
            </w:r>
          </w:p>
        </w:tc>
        <w:tc>
          <w:tcPr>
            <w:tcW w:w="5669" w:type="dxa"/>
          </w:tcPr>
          <w:p>
            <w:pPr>
              <w:pStyle w:val="0"/>
              <w:ind w:firstLine="283"/>
              <w:jc w:val="both"/>
            </w:pPr>
            <w:r>
              <w:rPr>
                <w:sz w:val="24"/>
              </w:rPr>
              <w:t xml:space="preserve">Планирование обеспечения физической защиты при транспортировании должно включать в том числе определение:</w:t>
            </w:r>
          </w:p>
          <w:p>
            <w:pPr>
              <w:pStyle w:val="0"/>
              <w:ind w:firstLine="283"/>
              <w:jc w:val="both"/>
            </w:pPr>
            <w:r>
              <w:rPr>
                <w:sz w:val="24"/>
              </w:rPr>
              <w:t xml:space="preserve">мер и порядка осуществления связи и взаимодействия между грузополучателем, грузоотправителем, перевозчиком (за исключением транспортирования мобильных РИ, а также РВ, ЯМ, подлежащих учету в СГУК РВ и РАО, между радиационными объектами одной и той же организации);</w:t>
            </w:r>
          </w:p>
          <w:p>
            <w:pPr>
              <w:pStyle w:val="0"/>
              <w:ind w:firstLine="283"/>
              <w:jc w:val="both"/>
            </w:pPr>
            <w:r>
              <w:rPr>
                <w:sz w:val="24"/>
              </w:rPr>
              <w:t xml:space="preserve">основного и запасных маршрутов движения с учетом условий в районах и на маршрутах движения;</w:t>
            </w:r>
          </w:p>
          <w:p>
            <w:pPr>
              <w:pStyle w:val="0"/>
              <w:ind w:firstLine="283"/>
              <w:jc w:val="both"/>
            </w:pPr>
            <w:r>
              <w:rPr>
                <w:sz w:val="24"/>
              </w:rPr>
              <w:t xml:space="preserve">мест (пунктов) остановок и перегрузок груза (если они предусмотрены);</w:t>
            </w:r>
          </w:p>
          <w:p>
            <w:pPr>
              <w:pStyle w:val="0"/>
              <w:ind w:firstLine="283"/>
              <w:jc w:val="both"/>
            </w:pPr>
            <w:r>
              <w:rPr>
                <w:sz w:val="24"/>
              </w:rPr>
              <w:t xml:space="preserve">места (пункта) передачи груза грузополучателю (если она предусмотрена).</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11</w:t>
            </w:r>
          </w:p>
        </w:tc>
        <w:tc>
          <w:tcPr>
            <w:tcW w:w="5669" w:type="dxa"/>
          </w:tcPr>
          <w:p>
            <w:pPr>
              <w:pStyle w:val="0"/>
              <w:ind w:firstLine="283"/>
              <w:jc w:val="both"/>
            </w:pPr>
            <w:r>
              <w:rPr>
                <w:sz w:val="24"/>
              </w:rPr>
              <w:t xml:space="preserve">При планировании необходимо избегать движения по территории районов чрезвычайных ситуаций, стихийных бедствий и территорий с установленными уровнями террористической опасности, ограничивать время транспортирования, количество перегрузок, остановок и стоянок в пути, а также число осведомленных о транспортировании лиц.</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12</w:t>
            </w:r>
          </w:p>
        </w:tc>
        <w:tc>
          <w:tcPr>
            <w:tcW w:w="5669" w:type="dxa"/>
          </w:tcPr>
          <w:p>
            <w:pPr>
              <w:pStyle w:val="0"/>
              <w:ind w:firstLine="283"/>
              <w:jc w:val="both"/>
            </w:pPr>
            <w:r>
              <w:rPr>
                <w:sz w:val="24"/>
              </w:rPr>
              <w:t xml:space="preserve">Физическая защита РВ, ЯМ, подлежащих учету в СГУК РВ и РАО, при временном (транзитном) хранении более трех суток должна соответствовать требованиям федеральных норм и правил в области использования атомной энергии к обеспечению физической защиты пункта хранения радиоактивных веществ, пункта хранения, хранилища радиоактивных отходов, утверждаемых Ростехнадзором на основании </w:t>
            </w:r>
            <w:hyperlink w:history="0" r:id="rId18" w:tooltip="Федеральный закон от 21.11.1995 N 170-ФЗ (ред. от 21.04.2025) &quot;Об использовании атомной энергии&quot; {КонсультантПлюс}">
              <w:r>
                <w:rPr>
                  <w:sz w:val="24"/>
                  <w:color w:val="0000ff"/>
                </w:rPr>
                <w:t xml:space="preserve">статьи 6</w:t>
              </w:r>
            </w:hyperlink>
            <w:r>
              <w:rPr>
                <w:sz w:val="24"/>
              </w:rPr>
              <w:t xml:space="preserve"> Федерального закона от 21 ноября 1995 г. N 170-ФЗ "Об использовании атомной энергии".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13</w:t>
            </w:r>
          </w:p>
        </w:tc>
        <w:tc>
          <w:tcPr>
            <w:tcW w:w="5669" w:type="dxa"/>
          </w:tcPr>
          <w:p>
            <w:pPr>
              <w:pStyle w:val="0"/>
              <w:ind w:firstLine="283"/>
              <w:jc w:val="both"/>
            </w:pPr>
            <w:r>
              <w:rPr>
                <w:sz w:val="24"/>
              </w:rPr>
              <w:t xml:space="preserve">Ответственность за обеспечение физической защиты РВ, ЯМ, подлежащих учету в СГУК РВ и РАО, при временном (транзитном) хранении должна быть определена документально.</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14</w:t>
            </w:r>
          </w:p>
        </w:tc>
        <w:tc>
          <w:tcPr>
            <w:tcW w:w="5669" w:type="dxa"/>
          </w:tcPr>
          <w:p>
            <w:pPr>
              <w:pStyle w:val="0"/>
              <w:ind w:firstLine="283"/>
              <w:jc w:val="both"/>
            </w:pPr>
            <w:r>
              <w:rPr>
                <w:sz w:val="24"/>
              </w:rPr>
              <w:t xml:space="preserve">При планировании обеспечения физической защиты при транспортировании должен быть разработан график движения на участках маршрутов.</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15</w:t>
            </w:r>
          </w:p>
        </w:tc>
        <w:tc>
          <w:tcPr>
            <w:tcW w:w="5669" w:type="dxa"/>
          </w:tcPr>
          <w:p>
            <w:pPr>
              <w:pStyle w:val="0"/>
              <w:ind w:firstLine="283"/>
              <w:jc w:val="both"/>
            </w:pPr>
            <w:r>
              <w:rPr>
                <w:sz w:val="24"/>
              </w:rPr>
              <w:t xml:space="preserve">Транспортирование груза должно осуществляться на основе плана физической защиты РВ, ЯМ, подлежащих учету в СГУК РВ и РАО, при их транспортировании.</w:t>
            </w:r>
          </w:p>
          <w:p>
            <w:pPr>
              <w:pStyle w:val="0"/>
              <w:ind w:firstLine="283"/>
              <w:jc w:val="both"/>
            </w:pPr>
            <w:r>
              <w:rPr>
                <w:sz w:val="24"/>
              </w:rPr>
              <w:t xml:space="preserve">В организации, ответственной за физическую защиту, должен быть разработан и утвержден руководителем данной организации план физической защиты РВ, ЯМ, подлежащих учету в СГУК РВ и РАО, при их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16</w:t>
            </w:r>
          </w:p>
        </w:tc>
        <w:tc>
          <w:tcPr>
            <w:tcW w:w="5669" w:type="dxa"/>
          </w:tcPr>
          <w:p>
            <w:pPr>
              <w:pStyle w:val="0"/>
              <w:ind w:firstLine="283"/>
              <w:jc w:val="both"/>
            </w:pPr>
            <w:r>
              <w:rPr>
                <w:sz w:val="24"/>
              </w:rPr>
              <w:t xml:space="preserve">План физической защиты РВ, ЯМ, подлежащих учету в СГУК РВ и РАО, при их транспортировании разрабатывается совместно с руководителем сил охраны или лицом, им уполномоченным (для уровней физической защиты "Б" и "В" - в случае их привлечения к операциям и условиям, которые связаны с перемещением РВ, ЯМ, подлежащих учету в СГУК РВ и РАО).</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17</w:t>
            </w:r>
          </w:p>
        </w:tc>
        <w:tc>
          <w:tcPr>
            <w:tcW w:w="5669" w:type="dxa"/>
          </w:tcPr>
          <w:p>
            <w:pPr>
              <w:pStyle w:val="0"/>
              <w:ind w:firstLine="283"/>
              <w:jc w:val="both"/>
            </w:pPr>
            <w:r>
              <w:rPr>
                <w:sz w:val="24"/>
              </w:rPr>
              <w:t xml:space="preserve">Мероприятия, предусмотренные планом физической защиты РВ, ЯМ, подлежащих учету в СГУК РВ и РАО, при их транспортировании, должны соблюдаться всеми лицами, участвующими в физической защите.</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18</w:t>
            </w:r>
          </w:p>
        </w:tc>
        <w:tc>
          <w:tcPr>
            <w:tcW w:w="5669" w:type="dxa"/>
          </w:tcPr>
          <w:p>
            <w:pPr>
              <w:pStyle w:val="0"/>
              <w:ind w:firstLine="283"/>
              <w:jc w:val="both"/>
            </w:pPr>
            <w:r>
              <w:rPr>
                <w:sz w:val="24"/>
              </w:rPr>
              <w:t xml:space="preserve">План физической защиты РВ, ЯМ, подлежащих учету в СГУК РВ и РАО, при их транспортировании должен храниться в организации, ответственной за физическую защиту, и у грузоотправителя не менее пяти лет после дня завершения транспортирования, на которое он распространяется.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19</w:t>
            </w:r>
          </w:p>
        </w:tc>
        <w:tc>
          <w:tcPr>
            <w:tcW w:w="5669" w:type="dxa"/>
          </w:tcPr>
          <w:p>
            <w:pPr>
              <w:pStyle w:val="0"/>
              <w:ind w:firstLine="283"/>
              <w:jc w:val="both"/>
            </w:pPr>
            <w:r>
              <w:rPr>
                <w:sz w:val="24"/>
              </w:rPr>
              <w:t xml:space="preserve">Обеспечение взаимодействия организации, ответственной за физическую защиту, с силами охраны (для уровней физической защиты "Б" и "В" - в случае привлечения сил охраны к операциям и условиям, которые связаны с перемещением РВ, ЯМ, подлежащих учету в СГУК РВ и РАО) должно осуществляться на основании утвержденных планов взаимодействия.</w:t>
            </w:r>
          </w:p>
          <w:p>
            <w:pPr>
              <w:pStyle w:val="0"/>
              <w:ind w:firstLine="283"/>
              <w:jc w:val="both"/>
            </w:pPr>
            <w:r>
              <w:rPr>
                <w:sz w:val="24"/>
              </w:rPr>
              <w:t xml:space="preserve">В случае транспортирования груза автомобильным и (или) железнодорожным транспортом по территориям нескольких субъектов Российской Федерации указанный план должен учитывать взаимодействие с подразделениями сил охраны, территориально расположенными в субъектах Российской Федерации, где предполагается осуществлять перевозку груза.</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20</w:t>
            </w:r>
          </w:p>
        </w:tc>
        <w:tc>
          <w:tcPr>
            <w:tcW w:w="5669" w:type="dxa"/>
          </w:tcPr>
          <w:p>
            <w:pPr>
              <w:pStyle w:val="0"/>
              <w:ind w:firstLine="283"/>
              <w:jc w:val="both"/>
            </w:pPr>
            <w:r>
              <w:rPr>
                <w:sz w:val="24"/>
              </w:rPr>
              <w:t xml:space="preserve">В транспортировании должны участвовать сопровождающие лица, выполняющие обязанности по физической защите при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21</w:t>
            </w:r>
          </w:p>
        </w:tc>
        <w:tc>
          <w:tcPr>
            <w:tcW w:w="5669" w:type="dxa"/>
          </w:tcPr>
          <w:p>
            <w:pPr>
              <w:pStyle w:val="0"/>
              <w:ind w:firstLine="283"/>
              <w:jc w:val="both"/>
            </w:pPr>
            <w:r>
              <w:rPr>
                <w:sz w:val="24"/>
              </w:rPr>
              <w:t xml:space="preserve">Организация, ответственная за физическую защиту, должна из особенностей маршрута (маршрутов) определить возможность назначения водителей автомобильного транспорта сопровождающими лицами, выполняющими обязанности по физической защите при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22</w:t>
            </w:r>
          </w:p>
        </w:tc>
        <w:tc>
          <w:tcPr>
            <w:tcW w:w="5669" w:type="dxa"/>
          </w:tcPr>
          <w:p>
            <w:pPr>
              <w:pStyle w:val="0"/>
              <w:ind w:firstLine="283"/>
              <w:jc w:val="both"/>
            </w:pPr>
            <w:r>
              <w:rPr>
                <w:sz w:val="24"/>
              </w:rPr>
              <w:t xml:space="preserve">До начала транспортирования сопровождающие лица должны проверить целостность замков и пломб грузовых отсеков перевозочных средств, грузовых контейнеров, упаковок и транспортных пакетов, а также отсутствие в перевозочных средствах посторонних предметов или устройств, которые могут создать помехи при транспортировании или способствовать совершению несанкционированных действий.</w:t>
            </w:r>
          </w:p>
          <w:p>
            <w:pPr>
              <w:pStyle w:val="0"/>
              <w:ind w:firstLine="283"/>
              <w:jc w:val="both"/>
            </w:pPr>
            <w:r>
              <w:rPr>
                <w:sz w:val="24"/>
              </w:rPr>
              <w:t xml:space="preserve">Если транспортирование включает несколько перевозок, указанная проверка должна проводиться перед каждой перевозкой.</w:t>
            </w:r>
          </w:p>
          <w:p>
            <w:pPr>
              <w:pStyle w:val="0"/>
              <w:ind w:firstLine="283"/>
              <w:jc w:val="both"/>
            </w:pPr>
            <w:r>
              <w:rPr>
                <w:sz w:val="24"/>
              </w:rPr>
              <w:t xml:space="preserve">Сведения о проведении указанной проверки должны быть документированы и храниться не менее пяти лет со дня документирования.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23</w:t>
            </w:r>
          </w:p>
        </w:tc>
        <w:tc>
          <w:tcPr>
            <w:tcW w:w="5669" w:type="dxa"/>
          </w:tcPr>
          <w:p>
            <w:pPr>
              <w:pStyle w:val="0"/>
              <w:ind w:firstLine="283"/>
              <w:jc w:val="both"/>
            </w:pPr>
            <w:r>
              <w:rPr>
                <w:sz w:val="24"/>
              </w:rPr>
              <w:t xml:space="preserve">Перед каждой перевозкой в ходе транспортирования сопровождающие лица должны уведомить организацию (лиц, контролирующих перевозку), ответственную за физическую защиту, о начале перевозки и ее планируемой продолжительности.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24</w:t>
            </w:r>
          </w:p>
        </w:tc>
        <w:tc>
          <w:tcPr>
            <w:tcW w:w="5669" w:type="dxa"/>
          </w:tcPr>
          <w:p>
            <w:pPr>
              <w:pStyle w:val="0"/>
              <w:ind w:firstLine="283"/>
              <w:jc w:val="both"/>
            </w:pPr>
            <w:r>
              <w:rPr>
                <w:sz w:val="24"/>
              </w:rPr>
              <w:t xml:space="preserve">В случае незапланированных остановок перевозочного средства или изменения маршрута сопровождающие лица должны сообщать об этом организации (лицам, контролирующим перевозку), ответственной за физическую защиту, а также об их причинах.</w:t>
            </w:r>
          </w:p>
          <w:p>
            <w:pPr>
              <w:pStyle w:val="0"/>
              <w:ind w:firstLine="283"/>
              <w:jc w:val="both"/>
            </w:pPr>
            <w:r>
              <w:rPr>
                <w:sz w:val="24"/>
              </w:rPr>
              <w:t xml:space="preserve">В случае если сопровождающие лица в запланированное время не сообщили о завершении перевозки, организация, ответственная за физическую защиту, должна установить причины задержки перевозки.</w:t>
            </w:r>
          </w:p>
          <w:p>
            <w:pPr>
              <w:pStyle w:val="0"/>
              <w:ind w:firstLine="283"/>
              <w:jc w:val="both"/>
            </w:pPr>
            <w:r>
              <w:rPr>
                <w:sz w:val="24"/>
              </w:rPr>
              <w:t xml:space="preserve">Сведения об установленных причинах должны быть документированы и храниться не менее пяти лет со дня документирования в организации, ответственной за физическую защиту.</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bookmarkStart w:id="627" w:name="P627"/>
          <w:bookmarkEnd w:id="627"/>
          <w:p>
            <w:pPr>
              <w:pStyle w:val="0"/>
            </w:pPr>
            <w:r>
              <w:rPr>
                <w:sz w:val="24"/>
              </w:rPr>
              <w:t xml:space="preserve">25</w:t>
            </w:r>
          </w:p>
        </w:tc>
        <w:tc>
          <w:tcPr>
            <w:tcW w:w="5669" w:type="dxa"/>
          </w:tcPr>
          <w:p>
            <w:pPr>
              <w:pStyle w:val="0"/>
              <w:ind w:firstLine="283"/>
              <w:jc w:val="both"/>
            </w:pPr>
            <w:r>
              <w:rPr>
                <w:sz w:val="24"/>
              </w:rPr>
              <w:t xml:space="preserve">Сопровождающие лица по прибытию груза в место назначения должны убедиться в полномочиях грузополучателя принять груз (в случае, если транспортирование не осуществлялось грузополучателем), проверить совместно с представителями грузополучателя состояние замков и пломб, установленных на грузе, и передать груз с отметками в перевозочных документах.</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26</w:t>
            </w:r>
          </w:p>
        </w:tc>
        <w:tc>
          <w:tcPr>
            <w:tcW w:w="5669" w:type="dxa"/>
          </w:tcPr>
          <w:p>
            <w:pPr>
              <w:pStyle w:val="0"/>
              <w:ind w:firstLine="283"/>
              <w:jc w:val="both"/>
            </w:pPr>
            <w:r>
              <w:rPr>
                <w:sz w:val="24"/>
              </w:rPr>
              <w:t xml:space="preserve">Сопровождающие лица должны сообщать организации (лицам, контролирующим перевозку), ответственной за физическую защиту, о завершении перевозки.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27</w:t>
            </w:r>
          </w:p>
        </w:tc>
        <w:tc>
          <w:tcPr>
            <w:tcW w:w="5669" w:type="dxa"/>
          </w:tcPr>
          <w:p>
            <w:pPr>
              <w:pStyle w:val="0"/>
              <w:ind w:firstLine="283"/>
              <w:jc w:val="both"/>
            </w:pPr>
            <w:r>
              <w:rPr>
                <w:sz w:val="24"/>
              </w:rPr>
              <w:t xml:space="preserve">Организация, ответственная за физическую защиту, исходя из особенностей маршрута (маршрутов) должна определить условия транспортирования, для которых необходимо обеспечивать физическую защиту РВ, ЯМ, подлежащих учету в СГУК РВ и РАО, с использованием сил охраны.</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28</w:t>
            </w:r>
          </w:p>
        </w:tc>
        <w:tc>
          <w:tcPr>
            <w:tcW w:w="5669" w:type="dxa"/>
          </w:tcPr>
          <w:p>
            <w:pPr>
              <w:pStyle w:val="0"/>
              <w:ind w:firstLine="283"/>
              <w:jc w:val="both"/>
            </w:pPr>
            <w:r>
              <w:rPr>
                <w:sz w:val="24"/>
              </w:rPr>
              <w:t xml:space="preserve">Применение технических средств физической защиты и привлечение сил охраны (для уровней физической защиты "Б" и "В" - в случае применения технических средств физической защиты и привлечения сил охраны к операциям и условиям, которые связаны с перемещением РВ, ЯМ, подлежащих учету в СГУК РВ и РАО) должны быть документированы в плане физической защиты РВ, ЯМ, подлежащих учету в СГУК РВ и РАО, при их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29</w:t>
            </w:r>
          </w:p>
        </w:tc>
        <w:tc>
          <w:tcPr>
            <w:tcW w:w="5669" w:type="dxa"/>
          </w:tcPr>
          <w:p>
            <w:pPr>
              <w:pStyle w:val="0"/>
              <w:ind w:firstLine="283"/>
              <w:jc w:val="both"/>
            </w:pPr>
            <w:r>
              <w:rPr>
                <w:sz w:val="24"/>
              </w:rPr>
              <w:t xml:space="preserve">При планировании обеспечения физической защиты при транспортировании должен быть разработан график и порядок обмена сообщениями между персоналом физической защиты, силами охраны, организацией, ответственной за физическую защиту (лицами, контролирующими перевозку).</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30</w:t>
            </w:r>
          </w:p>
        </w:tc>
        <w:tc>
          <w:tcPr>
            <w:tcW w:w="5669" w:type="dxa"/>
          </w:tcPr>
          <w:p>
            <w:pPr>
              <w:pStyle w:val="0"/>
              <w:ind w:firstLine="283"/>
              <w:jc w:val="both"/>
            </w:pPr>
            <w:r>
              <w:rPr>
                <w:sz w:val="24"/>
              </w:rPr>
              <w:t xml:space="preserve">Организация, ответственная за физическую защиту, исходя из особенностей маршрута (маршрутов) должна определить необходимость участия в физической защите транспортных средств сопровождения. Результаты анализа по определению необходимости участия в физической защите транспортных средств сопровождения оформляются документально и (или) отражаются в плане физической защиты РВ, ЯМ, подлежащих учету в СГУК РВ и РАО, при их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31</w:t>
            </w:r>
          </w:p>
        </w:tc>
        <w:tc>
          <w:tcPr>
            <w:tcW w:w="5669" w:type="dxa"/>
          </w:tcPr>
          <w:p>
            <w:pPr>
              <w:pStyle w:val="0"/>
              <w:ind w:firstLine="283"/>
              <w:jc w:val="both"/>
            </w:pPr>
            <w:r>
              <w:rPr>
                <w:sz w:val="24"/>
              </w:rPr>
              <w:t xml:space="preserve">В организации, ответственной за физическую защиту, должна быть создана служба безопасности как самостоятельное структурное подразделение, предназначенное для организации и контроля за выполнением мероприятий по осуществлению физической защиты.</w:t>
            </w:r>
          </w:p>
          <w:p>
            <w:pPr>
              <w:pStyle w:val="0"/>
              <w:ind w:firstLine="283"/>
              <w:jc w:val="both"/>
            </w:pPr>
            <w:r>
              <w:rPr>
                <w:sz w:val="24"/>
              </w:rPr>
              <w:t xml:space="preserve">Обязанности сотрудников службы безопасности должны быть определены в положении об этой службе.</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32</w:t>
            </w:r>
          </w:p>
        </w:tc>
        <w:tc>
          <w:tcPr>
            <w:tcW w:w="5669" w:type="dxa"/>
          </w:tcPr>
          <w:p>
            <w:pPr>
              <w:pStyle w:val="0"/>
              <w:ind w:firstLine="283"/>
              <w:jc w:val="both"/>
            </w:pPr>
            <w:r>
              <w:rPr>
                <w:sz w:val="24"/>
              </w:rPr>
              <w:t xml:space="preserve">Для выполнения задач физической защиты руководство организации, ответственной за физическую защиту, организует аналитическую работу в службе безопасности.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33</w:t>
            </w:r>
          </w:p>
        </w:tc>
        <w:tc>
          <w:tcPr>
            <w:tcW w:w="5669" w:type="dxa"/>
          </w:tcPr>
          <w:p>
            <w:pPr>
              <w:pStyle w:val="0"/>
              <w:ind w:firstLine="283"/>
              <w:jc w:val="both"/>
            </w:pPr>
            <w:r>
              <w:rPr>
                <w:sz w:val="24"/>
              </w:rPr>
              <w:t xml:space="preserve">Транспортирование должно осуществляться с привлечением вооруженных сил охраны и транспортных средств сопровождения (в случае транспортирования груза автомобильным транспортом).</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34</w:t>
            </w:r>
          </w:p>
        </w:tc>
        <w:tc>
          <w:tcPr>
            <w:tcW w:w="5669" w:type="dxa"/>
          </w:tcPr>
          <w:p>
            <w:pPr>
              <w:pStyle w:val="0"/>
              <w:ind w:firstLine="283"/>
              <w:jc w:val="both"/>
            </w:pPr>
            <w:r>
              <w:rPr>
                <w:sz w:val="24"/>
              </w:rPr>
              <w:t xml:space="preserve">При аварии с грузом или транспортным средством должны применяться дополнительные меры охраны груза, установленные в плане физической защиты РВ, ЯМ, подлежащих учету в СГУК РВ и РАО, при их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gridSpan w:val="6"/>
            <w:tcW w:w="9066" w:type="dxa"/>
          </w:tcPr>
          <w:p>
            <w:pPr>
              <w:pStyle w:val="0"/>
              <w:outlineLvl w:val="2"/>
              <w:jc w:val="center"/>
            </w:pPr>
            <w:r>
              <w:rPr>
                <w:sz w:val="24"/>
              </w:rPr>
              <w:t xml:space="preserve">Требования к ИТСФЗ</w:t>
            </w:r>
          </w:p>
        </w:tc>
      </w:tr>
      <w:tr>
        <w:tc>
          <w:tcPr>
            <w:tcW w:w="619" w:type="dxa"/>
          </w:tcPr>
          <w:p>
            <w:pPr>
              <w:pStyle w:val="0"/>
            </w:pPr>
            <w:r>
              <w:rPr>
                <w:sz w:val="24"/>
              </w:rPr>
              <w:t xml:space="preserve">35</w:t>
            </w:r>
          </w:p>
        </w:tc>
        <w:tc>
          <w:tcPr>
            <w:tcW w:w="5669" w:type="dxa"/>
          </w:tcPr>
          <w:p>
            <w:pPr>
              <w:pStyle w:val="0"/>
              <w:ind w:firstLine="283"/>
              <w:jc w:val="both"/>
            </w:pPr>
            <w:r>
              <w:rPr>
                <w:sz w:val="24"/>
              </w:rPr>
              <w:t xml:space="preserve">Технические характеристики (функциональные свойства) технических средств физической защиты должны удовлетворять требованиям документов по стандартизации, включенных в сводный перечень документов по стандартизации, предусмотренный </w:t>
            </w:r>
            <w:hyperlink w:history="0" r:id="rId19" w:tooltip="Постановление Правительства РФ от 12.07.2016 N 669 (ред. от 18.05.2023) &quot;Об утверждении Положения о стандартизации в отношении продукции (работ, услуг), для которой устанавливаются требования, связанные с обеспечением безопасности в области использования атомной энергии, а также процессов и иных объектов стандартизации, связанных с такой продукцией&quot; {КонсультантПлюс}">
              <w:r>
                <w:rPr>
                  <w:sz w:val="24"/>
                  <w:color w:val="0000ff"/>
                </w:rPr>
                <w:t xml:space="preserve">Положением</w:t>
              </w:r>
            </w:hyperlink>
            <w:r>
              <w:rPr>
                <w:sz w:val="24"/>
              </w:rPr>
              <w:t xml:space="preserve"> о стандартизации в отношении продукции (работ, услуг), для которой устанавливаются требования, связанные с обеспечением безопасности в области использования атомной энергии, а также процессов и иных объектов стандартизации, связанных с такой продукцией, утвержденным постановлением Правительства Российской Федерации от 12 июля 2016 г. N 669.</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36</w:t>
            </w:r>
          </w:p>
        </w:tc>
        <w:tc>
          <w:tcPr>
            <w:tcW w:w="5669" w:type="dxa"/>
          </w:tcPr>
          <w:p>
            <w:pPr>
              <w:pStyle w:val="0"/>
              <w:ind w:firstLine="283"/>
              <w:jc w:val="both"/>
            </w:pPr>
            <w:r>
              <w:rPr>
                <w:sz w:val="24"/>
              </w:rPr>
              <w:t xml:space="preserve">Должна быть обеспечена работоспособность ИТСФЗ в штатном режиме и в режиме чрезвычайной ситуации.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37</w:t>
            </w:r>
          </w:p>
        </w:tc>
        <w:tc>
          <w:tcPr>
            <w:tcW w:w="5669" w:type="dxa"/>
          </w:tcPr>
          <w:p>
            <w:pPr>
              <w:pStyle w:val="0"/>
              <w:ind w:firstLine="283"/>
              <w:jc w:val="both"/>
            </w:pPr>
            <w:r>
              <w:rPr>
                <w:sz w:val="24"/>
              </w:rPr>
              <w:t xml:space="preserve">Применяемые ИТСФЗ должны соответствовать проектной документации, национальным стандартам, иметь соответствующие сертификаты на продукцию, подлежащую обязательной сертификации, технические паспорта и другие документы, удостоверяющие их качество и применимость для данных условий эксплуатации.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38</w:t>
            </w:r>
          </w:p>
        </w:tc>
        <w:tc>
          <w:tcPr>
            <w:tcW w:w="5669" w:type="dxa"/>
          </w:tcPr>
          <w:p>
            <w:pPr>
              <w:pStyle w:val="0"/>
              <w:ind w:firstLine="283"/>
              <w:jc w:val="both"/>
            </w:pPr>
            <w:r>
              <w:rPr>
                <w:sz w:val="24"/>
              </w:rPr>
              <w:t xml:space="preserve">При транспортировании груза в закрытом грузовом отсеке перевозочного средства места доступа к грузу должны быть оснащены средствами контроля доступа (замками).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39</w:t>
            </w:r>
          </w:p>
        </w:tc>
        <w:tc>
          <w:tcPr>
            <w:tcW w:w="5669" w:type="dxa"/>
          </w:tcPr>
          <w:p>
            <w:pPr>
              <w:pStyle w:val="0"/>
              <w:ind w:firstLine="283"/>
              <w:jc w:val="both"/>
            </w:pPr>
            <w:r>
              <w:rPr>
                <w:sz w:val="24"/>
              </w:rPr>
              <w:t xml:space="preserve">В ходе транспортирования должны применяться средства связи.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40</w:t>
            </w:r>
          </w:p>
        </w:tc>
        <w:tc>
          <w:tcPr>
            <w:tcW w:w="5669" w:type="dxa"/>
          </w:tcPr>
          <w:p>
            <w:pPr>
              <w:pStyle w:val="0"/>
              <w:ind w:firstLine="283"/>
              <w:jc w:val="both"/>
            </w:pPr>
            <w:r>
              <w:rPr>
                <w:sz w:val="24"/>
              </w:rPr>
              <w:t xml:space="preserve">При использовании связи по открытым каналам должна применяться система условных сообщений для исключения возможности использования информации нарушителями в случае перехвата.</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41</w:t>
            </w:r>
          </w:p>
        </w:tc>
        <w:tc>
          <w:tcPr>
            <w:tcW w:w="5669" w:type="dxa"/>
          </w:tcPr>
          <w:p>
            <w:pPr>
              <w:pStyle w:val="0"/>
              <w:ind w:firstLine="283"/>
              <w:jc w:val="both"/>
            </w:pPr>
            <w:r>
              <w:rPr>
                <w:sz w:val="24"/>
              </w:rPr>
              <w:t xml:space="preserve">Организация, ответственная за физическую защиту, должна контролировать движение перевозочных средств по маршруту путем обмена сообщениями с сопровождающими груз лицами по средствам связи.</w:t>
            </w:r>
          </w:p>
          <w:p>
            <w:pPr>
              <w:pStyle w:val="0"/>
              <w:ind w:firstLine="283"/>
              <w:jc w:val="both"/>
            </w:pPr>
            <w:r>
              <w:rPr>
                <w:sz w:val="24"/>
              </w:rPr>
              <w:t xml:space="preserve">Сведения о сеансах связи (дата, время сеанса связи, информация о ходе перевозки) должны документироваться и храниться не менее пяти лет со дня документирования.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42</w:t>
            </w:r>
          </w:p>
        </w:tc>
        <w:tc>
          <w:tcPr>
            <w:tcW w:w="5669" w:type="dxa"/>
          </w:tcPr>
          <w:p>
            <w:pPr>
              <w:pStyle w:val="0"/>
              <w:ind w:firstLine="283"/>
              <w:jc w:val="both"/>
            </w:pPr>
            <w:r>
              <w:rPr>
                <w:sz w:val="24"/>
              </w:rPr>
              <w:t xml:space="preserve">Сопровождающие лица должны иметь средства связи для обмена сообщениями с организацией (лицами, контролирующими перевозку), ответственной за физическую защиту, о ходе транспортирования, а также для связи с силами охраны на маршруте транспортирования. В случае транспортирования колонной из нескольких автомобилей или в нескольких вагонах одного железнодорожного эшелона должна также обеспечиваться связь между автомобилями, вагонами.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43</w:t>
            </w:r>
          </w:p>
        </w:tc>
        <w:tc>
          <w:tcPr>
            <w:tcW w:w="5669" w:type="dxa"/>
          </w:tcPr>
          <w:p>
            <w:pPr>
              <w:pStyle w:val="0"/>
              <w:ind w:firstLine="283"/>
              <w:jc w:val="both"/>
            </w:pPr>
            <w:r>
              <w:rPr>
                <w:sz w:val="24"/>
              </w:rPr>
              <w:t xml:space="preserve">Груз должен транспортироваться либо в закрытом грузовом отсеке, либо в открытом кузове (на платформе, палубе) перевозочного средства. В последнем случае упаковка или транспортный пакет должен иметь конструкцию грузового контейнера или размещаться в грузовом контейнере. Грузовой отсек, грузовой контейнер, а также упаковка или транспортный пакет, имеющий конструкцию грузового контейнера, должен быть оснащен средствами контроля доступа (замками) и пломбами для обнаружения несанкционированного доступа.</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44</w:t>
            </w:r>
          </w:p>
        </w:tc>
        <w:tc>
          <w:tcPr>
            <w:tcW w:w="5669" w:type="dxa"/>
          </w:tcPr>
          <w:p>
            <w:pPr>
              <w:pStyle w:val="0"/>
              <w:ind w:firstLine="283"/>
              <w:jc w:val="both"/>
            </w:pPr>
            <w:r>
              <w:rPr>
                <w:sz w:val="24"/>
              </w:rPr>
              <w:t xml:space="preserve">Допускается перевозка РИ массой более 2 000 кг в кузове открытого типа перевозочного средства при условии обеспечения пломбирования упаковки РИ для обнаружения несанкционированного доступа.</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45</w:t>
            </w:r>
          </w:p>
        </w:tc>
        <w:tc>
          <w:tcPr>
            <w:tcW w:w="5669" w:type="dxa"/>
          </w:tcPr>
          <w:p>
            <w:pPr>
              <w:pStyle w:val="0"/>
              <w:ind w:firstLine="283"/>
              <w:jc w:val="both"/>
            </w:pPr>
            <w:r>
              <w:rPr>
                <w:sz w:val="24"/>
              </w:rPr>
              <w:t xml:space="preserve">Физическая защита груза должна осуществляться с применением средств охранной сигнализации, установленных в местах доступа к грузу, определенных в плане физической защиты РВ, ЯМ, подлежащих учету в СГУК РВ и РАО, при их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46</w:t>
            </w:r>
          </w:p>
        </w:tc>
        <w:tc>
          <w:tcPr>
            <w:tcW w:w="5669" w:type="dxa"/>
          </w:tcPr>
          <w:p>
            <w:pPr>
              <w:pStyle w:val="0"/>
              <w:ind w:firstLine="283"/>
              <w:jc w:val="both"/>
            </w:pPr>
            <w:r>
              <w:rPr>
                <w:sz w:val="24"/>
              </w:rPr>
              <w:t xml:space="preserve">Организация, ответственная за физическую защиту, должна контролировать движение перевозочных средств по маршруту путем получения сообщений от навигационных устройств, установленных на перевозочных средствах.</w:t>
            </w:r>
          </w:p>
          <w:p>
            <w:pPr>
              <w:pStyle w:val="0"/>
              <w:ind w:firstLine="283"/>
              <w:jc w:val="both"/>
            </w:pPr>
            <w:r>
              <w:rPr>
                <w:sz w:val="24"/>
              </w:rPr>
              <w:t xml:space="preserve">Данные, полученные от навигационных устройств, должны документироваться и храниться не менее пяти лет со дня документирования.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47</w:t>
            </w:r>
          </w:p>
        </w:tc>
        <w:tc>
          <w:tcPr>
            <w:tcW w:w="5669" w:type="dxa"/>
          </w:tcPr>
          <w:p>
            <w:pPr>
              <w:pStyle w:val="0"/>
              <w:ind w:firstLine="283"/>
              <w:jc w:val="both"/>
            </w:pPr>
            <w:r>
              <w:rPr>
                <w:sz w:val="24"/>
              </w:rPr>
              <w:t xml:space="preserve">Сотрудник, осуществляющий контроль за транспортированием, должен:</w:t>
            </w:r>
          </w:p>
          <w:p>
            <w:pPr>
              <w:pStyle w:val="0"/>
              <w:ind w:firstLine="283"/>
              <w:jc w:val="both"/>
            </w:pPr>
            <w:r>
              <w:rPr>
                <w:sz w:val="24"/>
              </w:rPr>
              <w:t xml:space="preserve">контролировать ход транспортирования по маршруту с использованием навигационных устройств, установленных на перевозочных средствах;</w:t>
            </w:r>
          </w:p>
          <w:p>
            <w:pPr>
              <w:pStyle w:val="0"/>
              <w:ind w:firstLine="283"/>
              <w:jc w:val="both"/>
            </w:pPr>
            <w:r>
              <w:rPr>
                <w:sz w:val="24"/>
              </w:rPr>
              <w:t xml:space="preserve">получать в автоматическом режиме данные о срабатывании охранной сигнализации;</w:t>
            </w:r>
          </w:p>
          <w:p>
            <w:pPr>
              <w:pStyle w:val="0"/>
              <w:ind w:firstLine="283"/>
              <w:jc w:val="both"/>
            </w:pPr>
            <w:r>
              <w:rPr>
                <w:sz w:val="24"/>
              </w:rPr>
              <w:t xml:space="preserve">иметь возможность обмена сообщениями по средствам связи с сопровождающими груз лицами.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48</w:t>
            </w:r>
          </w:p>
        </w:tc>
        <w:tc>
          <w:tcPr>
            <w:tcW w:w="5669" w:type="dxa"/>
          </w:tcPr>
          <w:p>
            <w:pPr>
              <w:pStyle w:val="0"/>
              <w:ind w:firstLine="283"/>
              <w:jc w:val="both"/>
            </w:pPr>
            <w:r>
              <w:rPr>
                <w:sz w:val="24"/>
              </w:rPr>
              <w:t xml:space="preserve">Технические средства физической защиты, навигационной системы слежения и средства связи, используемые организацией, ответственной за физическую защиту, должны иметь комплекты соответствующей эксплуатационной документации. Организации, которые осуществляют эксплуатацию указанных технических средств, должны обеспечить их работоспособность.</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49</w:t>
            </w:r>
          </w:p>
        </w:tc>
        <w:tc>
          <w:tcPr>
            <w:tcW w:w="5669" w:type="dxa"/>
          </w:tcPr>
          <w:p>
            <w:pPr>
              <w:pStyle w:val="0"/>
              <w:ind w:firstLine="283"/>
              <w:jc w:val="both"/>
            </w:pPr>
            <w:r>
              <w:rPr>
                <w:sz w:val="24"/>
              </w:rPr>
              <w:t xml:space="preserve">При транспортировании должна быть обеспечена возможность передачи из любой точки маршрута сигнала тревоги сопровождающими лицами сотруднику, осуществляющему контроль за транспортированием. Для этого средствами тревожно-вызывной сигнализации и средствами передачи данных должны быть оснащены перевозочные средства с РВ, ЯМ, подлежащими учету в СГУК РВ и РАО, или переносными средствами тревожно-вызывной сигнализации должны быть оснащены сопровождающие лица. Сотрудник, осуществляющий контроль за транспортированием, должен иметь средства приема данных и отображения сигналов тревоги.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50</w:t>
            </w:r>
          </w:p>
        </w:tc>
        <w:tc>
          <w:tcPr>
            <w:tcW w:w="5669" w:type="dxa"/>
          </w:tcPr>
          <w:p>
            <w:pPr>
              <w:pStyle w:val="0"/>
              <w:ind w:firstLine="283"/>
              <w:jc w:val="both"/>
            </w:pPr>
            <w:r>
              <w:rPr>
                <w:sz w:val="24"/>
              </w:rPr>
              <w:t xml:space="preserve">Сотрудник, осуществляющий контроль за транспортированием, должен иметь возможность осуществлять аудиозапись или документирование переговоров с сопровождающими лицами, документирование информации о получении сигналов тревоги от средств тревожно-вызывной сигнализации, а также о контроле движения перевозочных средств по маршруту с использованием навигационной системы слежения. Указанные записи и (или) документы должны храниться не менее одного года со дня завершения транспортирования.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51</w:t>
            </w:r>
          </w:p>
        </w:tc>
        <w:tc>
          <w:tcPr>
            <w:tcW w:w="5669" w:type="dxa"/>
          </w:tcPr>
          <w:p>
            <w:pPr>
              <w:pStyle w:val="0"/>
              <w:ind w:firstLine="283"/>
              <w:jc w:val="both"/>
            </w:pPr>
            <w:r>
              <w:rPr>
                <w:sz w:val="24"/>
              </w:rPr>
              <w:t xml:space="preserve">Места размещения РВ, ЯМ, подлежащих учету в СГУК РВ и РАО, должны быть оснащены системой наблюдения, обеспечивающей видеозапись происходящих в течение перевозки событий.</w:t>
            </w:r>
          </w:p>
          <w:p>
            <w:pPr>
              <w:pStyle w:val="0"/>
              <w:ind w:firstLine="283"/>
              <w:jc w:val="both"/>
            </w:pPr>
            <w:r>
              <w:rPr>
                <w:sz w:val="24"/>
              </w:rPr>
              <w:t xml:space="preserve">Срок хранения видеозаписей перевозок должен устанавливаться в плане физической защите РВ, ЯМ, подлежащих учету в СГУК РВ и РАО, при их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gridSpan w:val="6"/>
            <w:tcW w:w="9066" w:type="dxa"/>
          </w:tcPr>
          <w:p>
            <w:pPr>
              <w:pStyle w:val="0"/>
              <w:outlineLvl w:val="2"/>
              <w:jc w:val="center"/>
            </w:pPr>
            <w:r>
              <w:rPr>
                <w:sz w:val="24"/>
              </w:rPr>
              <w:t xml:space="preserve">Требования к персоналу физической защиты</w:t>
            </w:r>
          </w:p>
        </w:tc>
      </w:tr>
      <w:tr>
        <w:tc>
          <w:tcPr>
            <w:tcW w:w="619" w:type="dxa"/>
          </w:tcPr>
          <w:p>
            <w:pPr>
              <w:pStyle w:val="0"/>
            </w:pPr>
            <w:r>
              <w:rPr>
                <w:sz w:val="24"/>
              </w:rPr>
              <w:t xml:space="preserve">52</w:t>
            </w:r>
          </w:p>
        </w:tc>
        <w:tc>
          <w:tcPr>
            <w:tcW w:w="5669" w:type="dxa"/>
          </w:tcPr>
          <w:p>
            <w:pPr>
              <w:pStyle w:val="0"/>
              <w:ind w:firstLine="283"/>
              <w:jc w:val="both"/>
            </w:pPr>
            <w:r>
              <w:rPr>
                <w:sz w:val="24"/>
              </w:rPr>
              <w:t xml:space="preserve">Персонал физической защиты должен пройти обучение, что должно быть подтверждено документально.</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53</w:t>
            </w:r>
          </w:p>
        </w:tc>
        <w:tc>
          <w:tcPr>
            <w:tcW w:w="5669" w:type="dxa"/>
          </w:tcPr>
          <w:p>
            <w:pPr>
              <w:pStyle w:val="0"/>
              <w:ind w:firstLine="283"/>
              <w:jc w:val="both"/>
            </w:pPr>
            <w:r>
              <w:rPr>
                <w:sz w:val="24"/>
              </w:rPr>
              <w:t xml:space="preserve">Отбор персонала физической защиты должен проводиться с учетом образовательного уровня, профессиональных навыков и опыта работы, а также отсутствия медицинских противопоказаний к соответствующему виду деятельности.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54</w:t>
            </w:r>
          </w:p>
        </w:tc>
        <w:tc>
          <w:tcPr>
            <w:tcW w:w="5669" w:type="dxa"/>
          </w:tcPr>
          <w:p>
            <w:pPr>
              <w:pStyle w:val="0"/>
              <w:ind w:firstLine="283"/>
              <w:jc w:val="both"/>
            </w:pPr>
            <w:r>
              <w:rPr>
                <w:sz w:val="24"/>
              </w:rPr>
              <w:t xml:space="preserve">Руководящий персонал организации, ответственной за физическую защиту, должен иметь разрешения на право ведения работ в области использования атомной энергии, предусмотренные </w:t>
            </w:r>
            <w:hyperlink w:history="0" r:id="rId20" w:tooltip="Постановление Правительства РФ от 03.03.1997 N 240 (ред. от 12.04.2018) &quot;Об утверждении Перечня должностей работников объектов использования атомной энергии, которые должны получать разрешения Федеральной службы по экологическому, технологическому и атомному надзору на право ведения работ в области использования атомной энергии&quot; {КонсультантПлюс}">
              <w:r>
                <w:rPr>
                  <w:sz w:val="24"/>
                  <w:color w:val="0000ff"/>
                </w:rPr>
                <w:t xml:space="preserve">Перечнем</w:t>
              </w:r>
            </w:hyperlink>
            <w:r>
              <w:rPr>
                <w:sz w:val="24"/>
              </w:rPr>
              <w:t xml:space="preserve"> должностей работников объектов использования атомной энергии, которые должны получать разрешения Федеральной службы по экологическому, технологическому и атомному надзору на право ведения работ в области использования атомной энергии, утвержденным постановлением Правительства Российской Федерации от 3 марта 1997 г. N 240.</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55</w:t>
            </w:r>
          </w:p>
        </w:tc>
        <w:tc>
          <w:tcPr>
            <w:tcW w:w="5669" w:type="dxa"/>
          </w:tcPr>
          <w:p>
            <w:pPr>
              <w:pStyle w:val="0"/>
              <w:ind w:firstLine="283"/>
              <w:jc w:val="both"/>
            </w:pPr>
            <w:r>
              <w:rPr>
                <w:sz w:val="24"/>
              </w:rPr>
              <w:t xml:space="preserve">Персонал физической защиты, участвующий в операциях транспортирования, должен иметь письменные инструкции (план) о порядке действий в штатных и чрезвычайных ситуациях персонала физической защиты.</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56</w:t>
            </w:r>
          </w:p>
        </w:tc>
        <w:tc>
          <w:tcPr>
            <w:tcW w:w="5669" w:type="dxa"/>
          </w:tcPr>
          <w:p>
            <w:pPr>
              <w:pStyle w:val="0"/>
              <w:ind w:firstLine="283"/>
              <w:jc w:val="both"/>
            </w:pPr>
            <w:r>
              <w:rPr>
                <w:sz w:val="24"/>
              </w:rPr>
              <w:t xml:space="preserve">Персонал физической защиты должен проходить обеспечивающие поддержание уровня квалификации подготовку, переподготовку и проверку знаний федеральных норм и правил в области использования атомной энергии </w:t>
            </w:r>
            <w:hyperlink w:history="0" w:anchor="P867" w:tooltip="&lt;5&gt; Пункт 5 части 1 статьи 2 Федерального закона от 8 марта 2011 г. N 35-ФЗ &quot;Устав о дисциплине работников организаций, эксплуатирующих особо радиационно опасные и ядерно опасные производства и объекты в области использования атомной энергии&quot;.">
              <w:r>
                <w:rPr>
                  <w:sz w:val="24"/>
                  <w:color w:val="0000ff"/>
                </w:rPr>
                <w:t xml:space="preserve">&lt;5&gt;</w:t>
              </w:r>
            </w:hyperlink>
            <w:r>
              <w:rPr>
                <w:sz w:val="24"/>
              </w:rPr>
              <w:t xml:space="preserve">.</w:t>
            </w:r>
          </w:p>
          <w:p>
            <w:pPr>
              <w:pStyle w:val="0"/>
              <w:ind w:firstLine="283"/>
              <w:jc w:val="both"/>
            </w:pPr>
            <w:r>
              <w:rPr>
                <w:sz w:val="24"/>
              </w:rPr>
              <w:t xml:space="preserve">Сведения о поддержании уровня квалификации, подготовке, переподготовке и проверке знаний федеральных норм и правил в области использования атомной энергии должны документироваться и храниться в организации не менее пяти лет со дня проверки знаний.</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57</w:t>
            </w:r>
          </w:p>
        </w:tc>
        <w:tc>
          <w:tcPr>
            <w:tcW w:w="5669" w:type="dxa"/>
          </w:tcPr>
          <w:p>
            <w:pPr>
              <w:pStyle w:val="0"/>
              <w:ind w:firstLine="283"/>
              <w:jc w:val="both"/>
            </w:pPr>
            <w:r>
              <w:rPr>
                <w:sz w:val="24"/>
              </w:rPr>
              <w:t xml:space="preserve">Персонал физической защиты должен быть проинструктирован перед транспортированием с документированием сведений об инструктаже. Документы, подтверждающие проведение инструктажа, должны храниться в организации, ответственной за физическую защиту, не менее пяти лет после дня завершения транспортирования, на которое они распространяются.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58</w:t>
            </w:r>
          </w:p>
        </w:tc>
        <w:tc>
          <w:tcPr>
            <w:tcW w:w="5669" w:type="dxa"/>
          </w:tcPr>
          <w:p>
            <w:pPr>
              <w:pStyle w:val="0"/>
              <w:ind w:firstLine="283"/>
              <w:jc w:val="both"/>
            </w:pPr>
            <w:r>
              <w:rPr>
                <w:sz w:val="24"/>
              </w:rPr>
              <w:t xml:space="preserve">Инструктирование персонала физической защиты перед транспортированием должно включать вопросы:</w:t>
            </w:r>
          </w:p>
          <w:p>
            <w:pPr>
              <w:pStyle w:val="0"/>
              <w:ind w:firstLine="283"/>
              <w:jc w:val="both"/>
            </w:pPr>
            <w:r>
              <w:rPr>
                <w:sz w:val="24"/>
              </w:rPr>
              <w:t xml:space="preserve">реагирования персонала физической защиты при несанкционированных действиях и в чрезвычайных ситуациях;</w:t>
            </w:r>
          </w:p>
          <w:p>
            <w:pPr>
              <w:pStyle w:val="0"/>
              <w:ind w:firstLine="283"/>
              <w:jc w:val="both"/>
            </w:pPr>
            <w:r>
              <w:rPr>
                <w:sz w:val="24"/>
              </w:rPr>
              <w:t xml:space="preserve">использования средств связи и слежения за транспортированием;</w:t>
            </w:r>
          </w:p>
          <w:p>
            <w:pPr>
              <w:pStyle w:val="0"/>
              <w:ind w:firstLine="283"/>
              <w:jc w:val="both"/>
            </w:pPr>
            <w:r>
              <w:rPr>
                <w:sz w:val="24"/>
              </w:rPr>
              <w:t xml:space="preserve">осуществления связи и взаимодействия с организацией, ответственной за физическую защиту, сотрудником, осуществляющим контроль за транспортированием, силами охраны (для уровней физической защиты "Б" и "В" - в случае привлечения сил охраны к операциям и условиям, которые связаны с перемещением РВ, ЯМ, подлежащих учету в СГУК РВ и РАО, при их транспортировании) на маршруте транспортирования.</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59</w:t>
            </w:r>
          </w:p>
        </w:tc>
        <w:tc>
          <w:tcPr>
            <w:tcW w:w="5669" w:type="dxa"/>
          </w:tcPr>
          <w:p>
            <w:pPr>
              <w:pStyle w:val="0"/>
              <w:ind w:firstLine="283"/>
              <w:jc w:val="both"/>
            </w:pPr>
            <w:r>
              <w:rPr>
                <w:sz w:val="24"/>
              </w:rPr>
              <w:t xml:space="preserve">Сопровождающие лица должны на стоянках и остановках (в случаях, когда время остановки позволяет) проверять состояние замков и пломб грузовых отсеков, контейнеров, упаковок и транспортных пакетов, а также осуществлять наблюдение за перевозочными средствами, не допуская попыток несанкционированного доступа посторонних лиц в кузова, вагоны или отсеки.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60</w:t>
            </w:r>
          </w:p>
        </w:tc>
        <w:tc>
          <w:tcPr>
            <w:tcW w:w="5669" w:type="dxa"/>
          </w:tcPr>
          <w:p>
            <w:pPr>
              <w:pStyle w:val="0"/>
              <w:ind w:firstLine="283"/>
              <w:jc w:val="both"/>
            </w:pPr>
            <w:r>
              <w:rPr>
                <w:sz w:val="24"/>
              </w:rPr>
              <w:t xml:space="preserve">Условия, функции, порядок охраны (для уровней физической защиты "Б" и "В" - в случае привлечения сил охраны к операциям и условиям, которые связаны с перемещением РВ, ЯМ, подлежащих учету в СГУК РВ и РАО) и необходимость их оснащения должны быть определены руководителем организации, ответственной за физическую защиту, совместно с организацией, выполняющей функции охраны, и отражены в плане физической защиты РВ, ЯМ, подлежащих учету в СГУК РВ и РАО, при их транспортировании.</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r>
        <w:tc>
          <w:tcPr>
            <w:tcW w:w="619" w:type="dxa"/>
          </w:tcPr>
          <w:p>
            <w:pPr>
              <w:pStyle w:val="0"/>
            </w:pPr>
            <w:r>
              <w:rPr>
                <w:sz w:val="24"/>
              </w:rPr>
              <w:t xml:space="preserve">61</w:t>
            </w:r>
          </w:p>
        </w:tc>
        <w:tc>
          <w:tcPr>
            <w:tcW w:w="5669" w:type="dxa"/>
          </w:tcPr>
          <w:p>
            <w:pPr>
              <w:pStyle w:val="0"/>
              <w:ind w:firstLine="283"/>
              <w:jc w:val="both"/>
            </w:pPr>
            <w:r>
              <w:rPr>
                <w:sz w:val="24"/>
              </w:rPr>
              <w:t xml:space="preserve">Руководитель организации, ответственной за физическую защиту, при выявлении нарушений требований к физической защите, изложенных в настоящих Правилах, обязан принимать меры по их устранению и предупреждению, в том числе проводить внеочередную проверку знаний персонала физической защиты, допустившего такие нарушения. Результаты такой проверки оформляются документально.</w:t>
            </w:r>
          </w:p>
        </w:tc>
        <w:tc>
          <w:tcPr>
            <w:tcW w:w="794" w:type="dxa"/>
          </w:tcPr>
          <w:p>
            <w:pPr>
              <w:pStyle w:val="0"/>
              <w:jc w:val="center"/>
            </w:pPr>
            <w:r>
              <w:rPr>
                <w:sz w:val="24"/>
              </w:rPr>
              <w:t xml:space="preserve">+</w:t>
            </w:r>
          </w:p>
        </w:tc>
        <w:tc>
          <w:tcPr>
            <w:tcW w:w="680" w:type="dxa"/>
          </w:tcPr>
          <w:p>
            <w:pPr>
              <w:pStyle w:val="0"/>
              <w:jc w:val="center"/>
            </w:pPr>
            <w:r>
              <w:rPr>
                <w:sz w:val="24"/>
              </w:rPr>
              <w:t xml:space="preserve">+</w:t>
            </w:r>
          </w:p>
        </w:tc>
        <w:tc>
          <w:tcPr>
            <w:tcW w:w="680" w:type="dxa"/>
          </w:tcPr>
          <w:p>
            <w:pPr>
              <w:pStyle w:val="0"/>
              <w:jc w:val="center"/>
            </w:pPr>
            <w:r>
              <w:rPr>
                <w:sz w:val="24"/>
              </w:rPr>
              <w:t xml:space="preserve">+</w:t>
            </w:r>
          </w:p>
        </w:tc>
        <w:tc>
          <w:tcPr>
            <w:tcW w:w="624"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w:t>
      </w:r>
    </w:p>
    <w:bookmarkStart w:id="864" w:name="P864"/>
    <w:bookmarkEnd w:id="864"/>
    <w:p>
      <w:pPr>
        <w:pStyle w:val="0"/>
        <w:spacing w:before="240" w:lineRule="auto"/>
        <w:ind w:firstLine="540"/>
        <w:jc w:val="both"/>
      </w:pPr>
      <w:r>
        <w:rPr>
          <w:sz w:val="24"/>
        </w:rPr>
        <w:t xml:space="preserve">&lt;2&gt; Знаком "+" обозначено наличие требования пункта для соответствующего уровня физической защиты, знаком "-" обозначено отсутствие такого требования.</w:t>
      </w:r>
    </w:p>
    <w:bookmarkStart w:id="865" w:name="P865"/>
    <w:bookmarkEnd w:id="865"/>
    <w:p>
      <w:pPr>
        <w:pStyle w:val="0"/>
        <w:spacing w:before="240" w:lineRule="auto"/>
        <w:ind w:firstLine="540"/>
        <w:jc w:val="both"/>
      </w:pPr>
      <w:r>
        <w:rPr>
          <w:sz w:val="24"/>
        </w:rPr>
        <w:t xml:space="preserve">&lt;3&gt; </w:t>
      </w:r>
      <w:hyperlink w:history="0" r:id="rId21" w:tooltip="Федеральный закон от 21.11.1995 N 170-ФЗ (ред. от 21.04.2025) &quot;Об использовании атомной энергии&quot; {КонсультантПлюс}">
        <w:r>
          <w:rPr>
            <w:sz w:val="24"/>
            <w:color w:val="0000ff"/>
          </w:rPr>
          <w:t xml:space="preserve">Часть четвертая статьи 26</w:t>
        </w:r>
      </w:hyperlink>
      <w:r>
        <w:rPr>
          <w:sz w:val="24"/>
        </w:rPr>
        <w:t xml:space="preserve"> Федерального закона от 21 ноября 1995 г. N 170-ФЗ "Об использовании атомной энергии".</w:t>
      </w:r>
    </w:p>
    <w:bookmarkStart w:id="866" w:name="P866"/>
    <w:bookmarkEnd w:id="866"/>
    <w:p>
      <w:pPr>
        <w:pStyle w:val="0"/>
        <w:spacing w:before="240" w:lineRule="auto"/>
        <w:ind w:firstLine="540"/>
        <w:jc w:val="both"/>
      </w:pPr>
      <w:r>
        <w:rPr>
          <w:sz w:val="24"/>
        </w:rPr>
        <w:t xml:space="preserve">&lt;4&gt; </w:t>
      </w:r>
      <w:hyperlink w:history="0" r:id="rId22" w:tooltip="Федеральный закон от 21.11.1995 N 170-ФЗ (ред. от 21.04.2025) &quot;Об использовании атомной энергии&quot; {КонсультантПлюс}">
        <w:r>
          <w:rPr>
            <w:sz w:val="24"/>
            <w:color w:val="0000ff"/>
          </w:rPr>
          <w:t xml:space="preserve">Часть пятая статьи 36.1</w:t>
        </w:r>
      </w:hyperlink>
      <w:r>
        <w:rPr>
          <w:sz w:val="24"/>
        </w:rPr>
        <w:t xml:space="preserve"> Федерального закона от 21 ноября 1995 г. N 170-ФЗ "Об использовании атомной энергии".</w:t>
      </w:r>
    </w:p>
    <w:bookmarkStart w:id="867" w:name="P867"/>
    <w:bookmarkEnd w:id="867"/>
    <w:p>
      <w:pPr>
        <w:pStyle w:val="0"/>
        <w:spacing w:before="240" w:lineRule="auto"/>
        <w:ind w:firstLine="540"/>
        <w:jc w:val="both"/>
      </w:pPr>
      <w:r>
        <w:rPr>
          <w:sz w:val="24"/>
        </w:rPr>
        <w:t xml:space="preserve">&lt;5&gt; </w:t>
      </w:r>
      <w:hyperlink w:history="0" r:id="rId23" w:tooltip="Федеральный закон от 08.03.2011 N 35-ФЗ (ред. от 30.11.2011) &quot;Устав о дисциплине работников организаций, эксплуатирующих особо радиационно опасные и ядерно опасные производства и объекты в области использования атомной энергии&quot; {КонсультантПлюс}">
        <w:r>
          <w:rPr>
            <w:sz w:val="24"/>
            <w:color w:val="0000ff"/>
          </w:rPr>
          <w:t xml:space="preserve">Пункт 5 части 1 статьи 2</w:t>
        </w:r>
      </w:hyperlink>
      <w:r>
        <w:rPr>
          <w:sz w:val="24"/>
        </w:rPr>
        <w:t xml:space="preserve"> Федерального закона от 8 марта 2011 г. N 35-ФЗ "Устав о дисциплине работников организаций, эксплуатирующих особо радиационно опасные и ядерно опасные производства и объекты в области использования атомной энергии".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Ростехнадзора от 23.11.2023 N 416</w:t>
            <w:br/>
            <w:t>"Об утверждении федеральных норм и правил в области использования атомной энерг...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7387&amp;date=09.09.2026&amp;dst=127&amp;field=134" TargetMode = "External"/><Relationship Id="rId9" Type="http://schemas.openxmlformats.org/officeDocument/2006/relationships/hyperlink" Target="https://login.consultant.ru/link/?req=doc&amp;base=LAW&amp;n=532110&amp;date=09.09.2026&amp;dst=28&amp;field=134" TargetMode = "External"/><Relationship Id="rId10" Type="http://schemas.openxmlformats.org/officeDocument/2006/relationships/hyperlink" Target="https://login.consultant.ru/link/?req=doc&amp;base=LAW&amp;n=125233&amp;date=09.09.2026" TargetMode = "External"/><Relationship Id="rId11" Type="http://schemas.openxmlformats.org/officeDocument/2006/relationships/hyperlink" Target="https://login.consultant.ru/link/?req=doc&amp;base=LAW&amp;n=302024&amp;date=09.09.2026&amp;dst=100290&amp;field=134" TargetMode = "External"/><Relationship Id="rId12" Type="http://schemas.openxmlformats.org/officeDocument/2006/relationships/hyperlink" Target="https://login.consultant.ru/link/?req=doc&amp;base=LAW&amp;n=398800&amp;date=09.09.2026&amp;dst=100017&amp;field=134" TargetMode = "External"/><Relationship Id="rId13" Type="http://schemas.openxmlformats.org/officeDocument/2006/relationships/hyperlink" Target="https://login.consultant.ru/link/?req=doc&amp;base=LAW&amp;n=110431&amp;date=09.09.2026&amp;dst=100016&amp;field=134" TargetMode = "External"/><Relationship Id="rId14" Type="http://schemas.openxmlformats.org/officeDocument/2006/relationships/hyperlink" Target="https://login.consultant.ru/link/?req=doc&amp;base=LAW&amp;n=209596&amp;date=09.09.2026&amp;dst=102826&amp;field=134" TargetMode = "External"/><Relationship Id="rId15" Type="http://schemas.openxmlformats.org/officeDocument/2006/relationships/hyperlink" Target="https://login.consultant.ru/link/?req=doc&amp;base=LAW&amp;n=522040&amp;date=09.09.2026&amp;dst=100963&amp;field=134" TargetMode = "External"/><Relationship Id="rId16" Type="http://schemas.openxmlformats.org/officeDocument/2006/relationships/hyperlink" Target="https://login.consultant.ru/link/?req=doc&amp;base=LAW&amp;n=209596&amp;date=09.09.2026&amp;dst=100178&amp;field=134" TargetMode = "External"/><Relationship Id="rId17" Type="http://schemas.openxmlformats.org/officeDocument/2006/relationships/hyperlink" Target="https://login.consultant.ru/link/?req=doc&amp;base=LAW&amp;n=522040&amp;date=09.09.2026&amp;dst=100009&amp;field=134" TargetMode = "External"/><Relationship Id="rId18" Type="http://schemas.openxmlformats.org/officeDocument/2006/relationships/hyperlink" Target="https://login.consultant.ru/link/?req=doc&amp;base=LAW&amp;n=507387&amp;date=09.09.2026&amp;dst=127&amp;field=134" TargetMode = "External"/><Relationship Id="rId19" Type="http://schemas.openxmlformats.org/officeDocument/2006/relationships/hyperlink" Target="https://login.consultant.ru/link/?req=doc&amp;base=LAW&amp;n=447564&amp;date=09.09.2026&amp;dst=100011&amp;field=134" TargetMode = "External"/><Relationship Id="rId20" Type="http://schemas.openxmlformats.org/officeDocument/2006/relationships/hyperlink" Target="https://login.consultant.ru/link/?req=doc&amp;base=LAW&amp;n=295909&amp;date=09.09.2026&amp;dst=100150&amp;field=134" TargetMode = "External"/><Relationship Id="rId21" Type="http://schemas.openxmlformats.org/officeDocument/2006/relationships/hyperlink" Target="https://login.consultant.ru/link/?req=doc&amp;base=LAW&amp;n=507387&amp;date=09.09.2026&amp;dst=146&amp;field=134" TargetMode = "External"/><Relationship Id="rId22" Type="http://schemas.openxmlformats.org/officeDocument/2006/relationships/hyperlink" Target="https://login.consultant.ru/link/?req=doc&amp;base=LAW&amp;n=507387&amp;date=09.09.2026&amp;dst=100510&amp;field=134" TargetMode = "External"/><Relationship Id="rId23" Type="http://schemas.openxmlformats.org/officeDocument/2006/relationships/hyperlink" Target="https://login.consultant.ru/link/?req=doc&amp;base=LAW&amp;n=122392&amp;date=09.09.2026&amp;dst=10002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Ростехнадзора от 23.11.2023 N 416
"Об утверждении федеральных норм и правил в области использования атомной энергии "Правила физической защиты радиоактивных веществ и отдельных ядерных материалов при их транспортировании" (НП-073-23)"
(Зарегистрировано в Минюсте России 22.12.2023 N 76569)</dc:title>
  <dcterms:created xsi:type="dcterms:W3CDTF">2026-09-09T07:17:17Z</dcterms:created>
</cp:coreProperties>
</file>